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E2" w:rsidRPr="000564E4" w:rsidRDefault="008B71E2" w:rsidP="0069230B">
      <w:pPr>
        <w:spacing w:beforeLines="50" w:afterLines="50"/>
        <w:jc w:val="center"/>
        <w:rPr>
          <w:rFonts w:ascii="华文中宋" w:eastAsia="华文中宋" w:hAnsi="华文中宋"/>
          <w:b/>
          <w:sz w:val="44"/>
          <w:szCs w:val="44"/>
        </w:rPr>
      </w:pPr>
      <w:r w:rsidRPr="000564E4">
        <w:rPr>
          <w:rFonts w:ascii="华文中宋" w:eastAsia="华文中宋" w:hAnsi="华文中宋" w:hint="eastAsia"/>
          <w:b/>
          <w:sz w:val="44"/>
          <w:szCs w:val="44"/>
        </w:rPr>
        <w:t>中国公共关系业</w:t>
      </w:r>
      <w:r w:rsidRPr="00B70847">
        <w:rPr>
          <w:rFonts w:ascii="Times New Roman" w:eastAsia="华文中宋" w:hAnsi="Times New Roman" w:cs="Times New Roman"/>
          <w:b/>
          <w:sz w:val="44"/>
          <w:szCs w:val="44"/>
        </w:rPr>
        <w:t>201</w:t>
      </w:r>
      <w:r w:rsidR="0033448F" w:rsidRPr="00B70847">
        <w:rPr>
          <w:rFonts w:ascii="Times New Roman" w:eastAsia="华文中宋" w:hAnsi="Times New Roman" w:cs="Times New Roman"/>
          <w:b/>
          <w:sz w:val="44"/>
          <w:szCs w:val="44"/>
        </w:rPr>
        <w:t>4</w:t>
      </w:r>
      <w:r w:rsidRPr="000564E4">
        <w:rPr>
          <w:rFonts w:ascii="华文中宋" w:eastAsia="华文中宋" w:hAnsi="华文中宋" w:hint="eastAsia"/>
          <w:b/>
          <w:sz w:val="44"/>
          <w:szCs w:val="44"/>
        </w:rPr>
        <w:t>年度调查报告</w:t>
      </w:r>
    </w:p>
    <w:p w:rsidR="008B71E2" w:rsidRPr="00590E67" w:rsidRDefault="008B71E2" w:rsidP="0069230B">
      <w:pPr>
        <w:spacing w:beforeLines="100" w:afterLines="50"/>
        <w:ind w:firstLineChars="200" w:firstLine="420"/>
        <w:rPr>
          <w:rFonts w:ascii="Times New Roman" w:hAnsi="Times New Roman" w:cs="Times New Roman"/>
        </w:rPr>
      </w:pPr>
      <w:r w:rsidRPr="00590E67">
        <w:rPr>
          <w:rFonts w:ascii="Times New Roman" w:hAnsi="宋体" w:cs="Times New Roman"/>
        </w:rPr>
        <w:t>为反映</w:t>
      </w:r>
      <w:r w:rsidRPr="00590E67">
        <w:rPr>
          <w:rFonts w:ascii="Times New Roman" w:hAnsi="Times New Roman" w:cs="Times New Roman"/>
        </w:rPr>
        <w:t>201</w:t>
      </w:r>
      <w:r w:rsidR="0033448F">
        <w:rPr>
          <w:rFonts w:ascii="Times New Roman" w:hAnsi="Times New Roman" w:cs="Times New Roman" w:hint="eastAsia"/>
        </w:rPr>
        <w:t>4</w:t>
      </w:r>
      <w:r w:rsidRPr="00590E67">
        <w:rPr>
          <w:rFonts w:ascii="Times New Roman" w:hAnsi="宋体" w:cs="Times New Roman"/>
        </w:rPr>
        <w:t>年度公共关系服务市场的运行态势，正确评价中国公共关系业的发展状况，为专业机构提供积极的行业指引，</w:t>
      </w:r>
      <w:r w:rsidR="0033448F">
        <w:rPr>
          <w:rFonts w:ascii="Times New Roman" w:hAnsi="宋体" w:cs="Times New Roman" w:hint="eastAsia"/>
        </w:rPr>
        <w:t>2015</w:t>
      </w:r>
      <w:r w:rsidR="0033448F">
        <w:rPr>
          <w:rFonts w:ascii="Times New Roman" w:hAnsi="宋体" w:cs="Times New Roman" w:hint="eastAsia"/>
        </w:rPr>
        <w:t>年</w:t>
      </w:r>
      <w:r w:rsidRPr="00590E67">
        <w:rPr>
          <w:rFonts w:ascii="Times New Roman" w:hAnsi="Times New Roman" w:cs="Times New Roman"/>
        </w:rPr>
        <w:t>2</w:t>
      </w:r>
      <w:r w:rsidRPr="00590E67">
        <w:rPr>
          <w:rFonts w:ascii="Times New Roman" w:hAnsi="宋体" w:cs="Times New Roman"/>
        </w:rPr>
        <w:t>月</w:t>
      </w:r>
      <w:r w:rsidRPr="00590E67">
        <w:rPr>
          <w:rFonts w:ascii="Times New Roman" w:hAnsi="Times New Roman" w:cs="Times New Roman"/>
        </w:rPr>
        <w:t>2</w:t>
      </w:r>
      <w:r w:rsidRPr="00590E67">
        <w:rPr>
          <w:rFonts w:ascii="Times New Roman" w:hAnsi="宋体" w:cs="Times New Roman"/>
        </w:rPr>
        <w:t>日至</w:t>
      </w:r>
      <w:r w:rsidRPr="00590E67">
        <w:rPr>
          <w:rFonts w:ascii="Times New Roman" w:hAnsi="Times New Roman" w:cs="Times New Roman"/>
        </w:rPr>
        <w:t>3</w:t>
      </w:r>
      <w:r w:rsidRPr="00590E67">
        <w:rPr>
          <w:rFonts w:ascii="Times New Roman" w:hAnsi="宋体" w:cs="Times New Roman"/>
        </w:rPr>
        <w:t>月</w:t>
      </w:r>
      <w:r w:rsidR="00AC7D2D">
        <w:rPr>
          <w:rFonts w:ascii="Times New Roman" w:hAnsi="Times New Roman" w:cs="Times New Roman" w:hint="eastAsia"/>
        </w:rPr>
        <w:t>1</w:t>
      </w:r>
      <w:r w:rsidR="0033448F">
        <w:rPr>
          <w:rFonts w:ascii="Times New Roman" w:hAnsi="Times New Roman" w:cs="Times New Roman" w:hint="eastAsia"/>
        </w:rPr>
        <w:t>3</w:t>
      </w:r>
      <w:r w:rsidRPr="00590E67">
        <w:rPr>
          <w:rFonts w:ascii="Times New Roman" w:hAnsi="宋体" w:cs="Times New Roman"/>
        </w:rPr>
        <w:t>日，中国国际公共关系协会（</w:t>
      </w:r>
      <w:r w:rsidRPr="00590E67">
        <w:rPr>
          <w:rFonts w:ascii="Times New Roman" w:hAnsi="Times New Roman" w:cs="Times New Roman"/>
        </w:rPr>
        <w:t>CIPRA</w:t>
      </w:r>
      <w:r w:rsidRPr="00590E67">
        <w:rPr>
          <w:rFonts w:ascii="Times New Roman" w:hAnsi="宋体" w:cs="Times New Roman"/>
        </w:rPr>
        <w:t>）对</w:t>
      </w:r>
      <w:r w:rsidRPr="00590E67">
        <w:rPr>
          <w:rFonts w:ascii="Times New Roman" w:hAnsi="Times New Roman" w:cs="Times New Roman"/>
        </w:rPr>
        <w:t>中国大陆境内主要公共关系公司</w:t>
      </w:r>
      <w:r w:rsidRPr="00590E67">
        <w:rPr>
          <w:rFonts w:ascii="Times New Roman" w:hAnsi="宋体" w:cs="Times New Roman"/>
        </w:rPr>
        <w:t>进行调查活动。该项活动由协会研究发展部具体实施。</w:t>
      </w:r>
    </w:p>
    <w:p w:rsidR="008B71E2" w:rsidRPr="00590E67" w:rsidRDefault="008B71E2" w:rsidP="0069230B">
      <w:pPr>
        <w:spacing w:beforeLines="50" w:afterLines="50"/>
        <w:ind w:firstLineChars="200" w:firstLine="420"/>
        <w:rPr>
          <w:rFonts w:ascii="Times New Roman" w:hAnsi="Times New Roman" w:cs="Times New Roman"/>
          <w:b/>
          <w:bCs/>
        </w:rPr>
      </w:pPr>
      <w:r w:rsidRPr="00590E67">
        <w:rPr>
          <w:rFonts w:ascii="Times New Roman" w:hAnsi="宋体" w:cs="Times New Roman"/>
        </w:rPr>
        <w:t>项目组采用问卷调查的方法对</w:t>
      </w:r>
      <w:r w:rsidRPr="00590E67">
        <w:rPr>
          <w:rFonts w:ascii="Times New Roman" w:hAnsi="Times New Roman" w:cs="Times New Roman"/>
        </w:rPr>
        <w:t>201</w:t>
      </w:r>
      <w:r w:rsidR="000C07B2">
        <w:rPr>
          <w:rFonts w:ascii="Times New Roman" w:hAnsi="Times New Roman" w:cs="Times New Roman" w:hint="eastAsia"/>
        </w:rPr>
        <w:t>4</w:t>
      </w:r>
      <w:r w:rsidRPr="00590E67">
        <w:rPr>
          <w:rFonts w:ascii="Times New Roman" w:hAnsi="宋体" w:cs="Times New Roman"/>
        </w:rPr>
        <w:t>年度全国主要公关公司进行抽样</w:t>
      </w:r>
      <w:r w:rsidRPr="00590E67">
        <w:rPr>
          <w:rFonts w:ascii="Times New Roman" w:hAnsi="Times New Roman" w:cs="Times New Roman"/>
        </w:rPr>
        <w:t>调查，内容涉及</w:t>
      </w:r>
      <w:r w:rsidRPr="00590E67">
        <w:rPr>
          <w:rFonts w:ascii="Times New Roman" w:hAnsi="宋体" w:cs="Times New Roman"/>
        </w:rPr>
        <w:t>运营管理、业务发展和可持续发展</w:t>
      </w:r>
      <w:r w:rsidRPr="00590E67">
        <w:rPr>
          <w:rFonts w:ascii="Times New Roman" w:hAnsi="Times New Roman" w:cs="Times New Roman"/>
        </w:rPr>
        <w:t>等方面。</w:t>
      </w:r>
    </w:p>
    <w:p w:rsidR="008B71E2" w:rsidRPr="00590E67" w:rsidRDefault="008B71E2" w:rsidP="0069230B">
      <w:pPr>
        <w:spacing w:beforeLines="50" w:afterLines="50"/>
        <w:ind w:firstLine="420"/>
        <w:rPr>
          <w:rFonts w:ascii="Times New Roman" w:hAnsi="Times New Roman" w:cs="Times New Roman"/>
        </w:rPr>
      </w:pPr>
      <w:r w:rsidRPr="00590E67">
        <w:rPr>
          <w:rFonts w:ascii="Times New Roman" w:hAnsi="宋体" w:cs="Times New Roman"/>
        </w:rPr>
        <w:t>项目组对问卷所取得的数据进行了科学统计，并依据行业经验和历史数据进行了相关核实和判断，在科学分析基础上形成本调查报告。本报告由年度排行榜、行业调查分析、</w:t>
      </w:r>
      <w:r w:rsidRPr="00590E67">
        <w:rPr>
          <w:rFonts w:ascii="Times New Roman" w:hAnsi="Times New Roman" w:cs="Times New Roman"/>
        </w:rPr>
        <w:t>TOP</w:t>
      </w:r>
      <w:r w:rsidRPr="00590E67">
        <w:rPr>
          <w:rFonts w:ascii="Times New Roman" w:hAnsi="宋体" w:cs="Times New Roman"/>
        </w:rPr>
        <w:t>公司研究</w:t>
      </w:r>
      <w:r w:rsidR="00590E67" w:rsidRPr="00F87815">
        <w:rPr>
          <w:rFonts w:ascii="Times New Roman" w:hAnsi="宋体" w:cs="Times New Roman" w:hint="eastAsia"/>
        </w:rPr>
        <w:t>、最具成长性公司研究</w:t>
      </w:r>
      <w:r w:rsidRPr="00590E67">
        <w:rPr>
          <w:rFonts w:ascii="Times New Roman" w:hAnsi="宋体" w:cs="Times New Roman"/>
        </w:rPr>
        <w:t>及行业发展</w:t>
      </w:r>
      <w:r w:rsidR="00B70847">
        <w:rPr>
          <w:rFonts w:ascii="Times New Roman" w:hAnsi="宋体" w:cs="Times New Roman" w:hint="eastAsia"/>
        </w:rPr>
        <w:t>分析五</w:t>
      </w:r>
      <w:r w:rsidRPr="00590E67">
        <w:rPr>
          <w:rFonts w:ascii="Times New Roman" w:hAnsi="宋体" w:cs="Times New Roman"/>
        </w:rPr>
        <w:t>个部分组成。</w:t>
      </w:r>
    </w:p>
    <w:p w:rsidR="008B71E2" w:rsidRPr="006D4E3A" w:rsidRDefault="008B71E2" w:rsidP="0069230B">
      <w:pPr>
        <w:spacing w:beforeLines="50" w:afterLines="50"/>
        <w:rPr>
          <w:rFonts w:ascii="宋体" w:hAnsi="宋体"/>
          <w:b/>
          <w:bCs/>
        </w:rPr>
      </w:pPr>
    </w:p>
    <w:p w:rsidR="008B71E2" w:rsidRDefault="008B71E2" w:rsidP="0069230B">
      <w:pPr>
        <w:spacing w:beforeLines="50" w:afterLines="5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报告说明：</w:t>
      </w:r>
    </w:p>
    <w:p w:rsidR="008B71E2" w:rsidRDefault="008B71E2" w:rsidP="0069230B">
      <w:pPr>
        <w:spacing w:beforeLines="50" w:afterLines="50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1.本报告所涉及的调查内容仅涉及中国内地的公共关系服务，不包括被访者的广告及其他制作业务；</w:t>
      </w:r>
    </w:p>
    <w:p w:rsidR="008B71E2" w:rsidRDefault="008B71E2" w:rsidP="0069230B">
      <w:pPr>
        <w:spacing w:beforeLines="50" w:afterLines="50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2.本报告所依据的调查数据为被访者所提供的数据，尽管访问者对这些数据做了相关核实，但本报告并不为这些数据的真实性提供保证；</w:t>
      </w:r>
    </w:p>
    <w:p w:rsidR="008B71E2" w:rsidRDefault="008B71E2" w:rsidP="0069230B">
      <w:pPr>
        <w:spacing w:beforeLines="50" w:afterLines="50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3.本报告所访问的对象为公司主要负责人，他们在接受调查时均声明代表公司的意志，所提供的信息均是真实、准确和有效的；</w:t>
      </w:r>
    </w:p>
    <w:p w:rsidR="008B71E2" w:rsidRDefault="008B71E2" w:rsidP="0069230B">
      <w:pPr>
        <w:spacing w:beforeLines="50" w:afterLines="50"/>
        <w:ind w:firstLine="420"/>
        <w:rPr>
          <w:rFonts w:ascii="宋体" w:hAnsi="宋体"/>
        </w:rPr>
      </w:pPr>
      <w:r>
        <w:rPr>
          <w:rFonts w:ascii="宋体" w:hAnsi="宋体" w:hint="eastAsia"/>
        </w:rPr>
        <w:t>4.本报告所发表的数据和结论以被访者提交的数据为基础，经过统计分析和行业判断，并加以测试和修正，这些数据不一定完全符合真实情况但能反映行业发展基本面的情况；</w:t>
      </w:r>
    </w:p>
    <w:p w:rsidR="008B71E2" w:rsidRPr="007E2C21" w:rsidRDefault="008B71E2" w:rsidP="0069230B">
      <w:pPr>
        <w:spacing w:beforeLines="50" w:afterLines="50"/>
        <w:ind w:firstLine="420"/>
        <w:rPr>
          <w:rFonts w:ascii="宋体" w:hAnsi="宋体"/>
          <w:b/>
        </w:rPr>
      </w:pPr>
      <w:r>
        <w:rPr>
          <w:rFonts w:ascii="宋体" w:hAnsi="宋体" w:hint="eastAsia"/>
        </w:rPr>
        <w:t>5.本报告相信，有关数据和分析确实具有非常好的参考价值，能为中国公共关系市场的健康发展提供积极的引导和推动力。</w:t>
      </w:r>
    </w:p>
    <w:p w:rsidR="008B71E2" w:rsidRPr="00236128" w:rsidRDefault="008B71E2" w:rsidP="0069230B">
      <w:pPr>
        <w:spacing w:beforeLines="50" w:afterLines="50"/>
        <w:rPr>
          <w:rFonts w:ascii="华文中宋" w:eastAsia="华文中宋" w:hAnsi="华文中宋"/>
          <w:b/>
          <w:bCs/>
          <w:sz w:val="44"/>
        </w:rPr>
      </w:pPr>
    </w:p>
    <w:p w:rsidR="008B71E2" w:rsidRPr="000304A3" w:rsidRDefault="008B71E2" w:rsidP="00766A56">
      <w:pPr>
        <w:widowControl/>
        <w:jc w:val="center"/>
        <w:rPr>
          <w:rFonts w:ascii="宋体" w:hAnsi="宋体"/>
          <w:sz w:val="36"/>
          <w:szCs w:val="36"/>
        </w:rPr>
      </w:pPr>
      <w:r>
        <w:rPr>
          <w:rFonts w:ascii="华文中宋" w:eastAsia="华文中宋" w:hAnsi="华文中宋"/>
          <w:b/>
          <w:bCs/>
          <w:sz w:val="44"/>
        </w:rPr>
        <w:br w:type="page"/>
      </w:r>
      <w:r w:rsidRPr="000304A3"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年度排行榜</w:t>
      </w:r>
    </w:p>
    <w:p w:rsidR="008B71E2" w:rsidRPr="00590E67" w:rsidRDefault="008B71E2" w:rsidP="0069230B">
      <w:pPr>
        <w:spacing w:beforeLines="50" w:afterLines="50"/>
        <w:ind w:firstLineChars="200" w:firstLine="420"/>
        <w:rPr>
          <w:rFonts w:ascii="Times New Roman" w:hAnsi="Times New Roman" w:cs="Times New Roman"/>
        </w:rPr>
      </w:pPr>
      <w:r w:rsidRPr="00590E67">
        <w:rPr>
          <w:rFonts w:ascii="Times New Roman" w:hAnsi="Times New Roman" w:cs="Times New Roman"/>
        </w:rPr>
        <w:t>201</w:t>
      </w:r>
      <w:r w:rsidR="0033448F">
        <w:rPr>
          <w:rFonts w:ascii="Times New Roman" w:hAnsi="Times New Roman" w:cs="Times New Roman" w:hint="eastAsia"/>
        </w:rPr>
        <w:t>4</w:t>
      </w:r>
      <w:r w:rsidRPr="00590E67">
        <w:rPr>
          <w:rFonts w:ascii="Times New Roman" w:hAnsi="Times New Roman" w:cs="Times New Roman"/>
        </w:rPr>
        <w:t>年度公司排行榜包括</w:t>
      </w:r>
      <w:r w:rsidRPr="00590E67">
        <w:rPr>
          <w:rFonts w:ascii="Times New Roman" w:hAnsi="Times New Roman" w:cs="Times New Roman"/>
        </w:rPr>
        <w:t>TOP</w:t>
      </w:r>
      <w:r w:rsidRPr="00590E67">
        <w:rPr>
          <w:rFonts w:ascii="Times New Roman" w:hAnsi="Times New Roman" w:cs="Times New Roman"/>
        </w:rPr>
        <w:t>公司和</w:t>
      </w:r>
      <w:r w:rsidR="00590E67">
        <w:rPr>
          <w:rFonts w:ascii="Times New Roman" w:hAnsi="Times New Roman" w:cs="Times New Roman" w:hint="eastAsia"/>
        </w:rPr>
        <w:t>最具成长性公司</w:t>
      </w:r>
      <w:r w:rsidRPr="00590E67">
        <w:rPr>
          <w:rFonts w:ascii="Times New Roman" w:hAnsi="Times New Roman" w:cs="Times New Roman"/>
        </w:rPr>
        <w:t>两个榜单，</w:t>
      </w:r>
      <w:r w:rsidR="00590E67">
        <w:rPr>
          <w:rFonts w:ascii="Times New Roman" w:hAnsi="Times New Roman" w:cs="Times New Roman" w:hint="eastAsia"/>
        </w:rPr>
        <w:t>其中</w:t>
      </w:r>
      <w:r w:rsidR="00590E67" w:rsidRPr="0019614F">
        <w:rPr>
          <w:rFonts w:ascii="Times New Roman" w:hAnsi="Times New Roman" w:cs="Times New Roman" w:hint="eastAsia"/>
          <w:b/>
        </w:rPr>
        <w:t>TOP</w:t>
      </w:r>
      <w:r w:rsidR="00590E67" w:rsidRPr="0019614F">
        <w:rPr>
          <w:rFonts w:ascii="Times New Roman" w:hAnsi="Times New Roman" w:cs="Times New Roman" w:hint="eastAsia"/>
          <w:b/>
        </w:rPr>
        <w:t>公司</w:t>
      </w:r>
      <w:r w:rsidR="00590E67" w:rsidRPr="0019614F">
        <w:rPr>
          <w:rFonts w:ascii="Times New Roman" w:hAnsi="Times New Roman" w:cs="Times New Roman"/>
          <w:b/>
        </w:rPr>
        <w:t>2</w:t>
      </w:r>
      <w:r w:rsidR="00590E67" w:rsidRPr="0019614F">
        <w:rPr>
          <w:rFonts w:ascii="Times New Roman" w:hAnsi="Times New Roman" w:cs="Times New Roman" w:hint="eastAsia"/>
          <w:b/>
        </w:rPr>
        <w:t>5</w:t>
      </w:r>
      <w:r w:rsidRPr="0019614F">
        <w:rPr>
          <w:rFonts w:ascii="Times New Roman" w:hAnsi="Times New Roman" w:cs="Times New Roman"/>
          <w:b/>
        </w:rPr>
        <w:t>家</w:t>
      </w:r>
      <w:r w:rsidR="00590E67">
        <w:rPr>
          <w:rFonts w:ascii="Times New Roman" w:hAnsi="Times New Roman" w:cs="Times New Roman" w:hint="eastAsia"/>
        </w:rPr>
        <w:t>，</w:t>
      </w:r>
      <w:r w:rsidR="00590E67" w:rsidRPr="0019614F">
        <w:rPr>
          <w:rFonts w:ascii="Times New Roman" w:hAnsi="Times New Roman" w:cs="Times New Roman" w:hint="eastAsia"/>
          <w:b/>
        </w:rPr>
        <w:t>最具成长性</w:t>
      </w:r>
      <w:r w:rsidRPr="0019614F">
        <w:rPr>
          <w:rFonts w:ascii="Times New Roman" w:hAnsi="Times New Roman" w:cs="Times New Roman"/>
          <w:b/>
        </w:rPr>
        <w:t>公司</w:t>
      </w:r>
      <w:r w:rsidR="00590E67" w:rsidRPr="0019614F">
        <w:rPr>
          <w:rFonts w:ascii="Times New Roman" w:hAnsi="Times New Roman" w:cs="Times New Roman" w:hint="eastAsia"/>
          <w:b/>
        </w:rPr>
        <w:t>10</w:t>
      </w:r>
      <w:r w:rsidR="00590E67" w:rsidRPr="0019614F">
        <w:rPr>
          <w:rFonts w:ascii="Times New Roman" w:hAnsi="Times New Roman" w:cs="Times New Roman" w:hint="eastAsia"/>
          <w:b/>
        </w:rPr>
        <w:t>家</w:t>
      </w:r>
      <w:r w:rsidRPr="00590E67">
        <w:rPr>
          <w:rFonts w:ascii="Times New Roman" w:hAnsi="Times New Roman" w:cs="Times New Roman"/>
        </w:rPr>
        <w:t>。该榜单以</w:t>
      </w:r>
      <w:r w:rsidRPr="00590E67">
        <w:rPr>
          <w:rFonts w:ascii="Times New Roman" w:cs="Times New Roman"/>
        </w:rPr>
        <w:t>自愿参与调查活动、提交完整数据、能够接受考察核实的公关公司</w:t>
      </w:r>
      <w:r w:rsidRPr="00590E67">
        <w:rPr>
          <w:rFonts w:ascii="Times New Roman" w:hAnsi="Times New Roman" w:cs="Times New Roman"/>
        </w:rPr>
        <w:t>为评选对象，</w:t>
      </w:r>
      <w:r w:rsidRPr="00590E67">
        <w:rPr>
          <w:rFonts w:ascii="Times New Roman" w:cs="Times New Roman"/>
        </w:rPr>
        <w:t>以</w:t>
      </w:r>
      <w:r w:rsidRPr="00590E67">
        <w:rPr>
          <w:rFonts w:ascii="Times New Roman" w:hAnsi="Times New Roman" w:cs="Times New Roman"/>
        </w:rPr>
        <w:t>“TOP</w:t>
      </w:r>
      <w:r w:rsidRPr="00590E67">
        <w:rPr>
          <w:rFonts w:ascii="Times New Roman" w:cs="Times New Roman"/>
        </w:rPr>
        <w:t>公司评选标准</w:t>
      </w:r>
      <w:r w:rsidRPr="00590E67">
        <w:rPr>
          <w:rFonts w:ascii="Times New Roman" w:hAnsi="Times New Roman" w:cs="Times New Roman"/>
        </w:rPr>
        <w:t>”</w:t>
      </w:r>
      <w:r w:rsidRPr="00590E67">
        <w:rPr>
          <w:rFonts w:ascii="Times New Roman" w:cs="Times New Roman"/>
        </w:rPr>
        <w:t>为评选依据，通过加权指数计算产生最终结果。</w:t>
      </w:r>
    </w:p>
    <w:p w:rsidR="008B71E2" w:rsidRPr="00590E67" w:rsidRDefault="008B71E2" w:rsidP="0069230B">
      <w:pPr>
        <w:spacing w:beforeLines="50" w:afterLines="50"/>
        <w:ind w:firstLineChars="200" w:firstLine="420"/>
        <w:rPr>
          <w:rFonts w:ascii="Times New Roman" w:hAnsi="Times New Roman" w:cs="Times New Roman"/>
        </w:rPr>
      </w:pPr>
      <w:r w:rsidRPr="00590E67">
        <w:rPr>
          <w:rFonts w:ascii="Times New Roman" w:hAnsi="Times New Roman" w:cs="Times New Roman"/>
        </w:rPr>
        <w:t>榜单统计分析由</w:t>
      </w:r>
      <w:r w:rsidRPr="00590E67">
        <w:rPr>
          <w:rFonts w:ascii="Times New Roman" w:hAnsi="Times New Roman" w:cs="Times New Roman"/>
        </w:rPr>
        <w:t>CIPRA</w:t>
      </w:r>
      <w:r w:rsidRPr="00590E67">
        <w:rPr>
          <w:rFonts w:ascii="Times New Roman" w:hAnsi="Times New Roman" w:cs="Times New Roman"/>
        </w:rPr>
        <w:t>研究发展部执行，</w:t>
      </w:r>
      <w:r w:rsidRPr="00590E67">
        <w:rPr>
          <w:rFonts w:ascii="Times New Roman" w:hAnsi="Times New Roman" w:cs="Times New Roman"/>
        </w:rPr>
        <w:t>CIPRA</w:t>
      </w:r>
      <w:r w:rsidRPr="00590E67">
        <w:rPr>
          <w:rFonts w:ascii="Times New Roman" w:hAnsi="Times New Roman" w:cs="Times New Roman"/>
        </w:rPr>
        <w:t>公关公司工作委员会常委会审议。</w:t>
      </w:r>
    </w:p>
    <w:p w:rsidR="008B71E2" w:rsidRDefault="008B71E2" w:rsidP="0069230B">
      <w:pPr>
        <w:spacing w:beforeLines="50" w:afterLines="50"/>
        <w:ind w:firstLineChars="196" w:firstLine="413"/>
        <w:rPr>
          <w:rFonts w:ascii="宋体" w:hAnsi="宋体"/>
          <w:b/>
          <w:bCs/>
        </w:rPr>
      </w:pPr>
      <w:r w:rsidRPr="00236128">
        <w:rPr>
          <w:rFonts w:ascii="宋体" w:hAnsi="宋体" w:hint="eastAsia"/>
          <w:b/>
          <w:bCs/>
        </w:rPr>
        <w:t>关于</w:t>
      </w:r>
      <w:r>
        <w:rPr>
          <w:rFonts w:ascii="宋体" w:hAnsi="宋体" w:hint="eastAsia"/>
          <w:b/>
          <w:bCs/>
        </w:rPr>
        <w:t>“</w:t>
      </w:r>
      <w:r w:rsidRPr="00236128">
        <w:rPr>
          <w:rFonts w:ascii="宋体" w:hAnsi="宋体" w:hint="eastAsia"/>
          <w:b/>
          <w:bCs/>
        </w:rPr>
        <w:t>营业</w:t>
      </w:r>
      <w:r w:rsidR="008E09FA">
        <w:rPr>
          <w:rFonts w:ascii="宋体" w:hAnsi="宋体" w:hint="eastAsia"/>
          <w:b/>
          <w:bCs/>
        </w:rPr>
        <w:t>利润</w:t>
      </w:r>
      <w:r>
        <w:rPr>
          <w:rFonts w:ascii="宋体" w:hAnsi="宋体" w:hint="eastAsia"/>
          <w:b/>
          <w:bCs/>
        </w:rPr>
        <w:t>”注释</w:t>
      </w:r>
    </w:p>
    <w:p w:rsidR="008B71E2" w:rsidRPr="00590E67" w:rsidRDefault="008B71E2" w:rsidP="0069230B">
      <w:pPr>
        <w:spacing w:beforeLines="50" w:afterLines="50"/>
        <w:ind w:firstLine="420"/>
        <w:rPr>
          <w:rFonts w:ascii="Times New Roman" w:hAnsi="Times New Roman" w:cs="Times New Roman"/>
        </w:rPr>
      </w:pPr>
      <w:r w:rsidRPr="00590E67">
        <w:rPr>
          <w:rFonts w:ascii="Times New Roman" w:hAnsi="宋体" w:cs="Times New Roman"/>
        </w:rPr>
        <w:t>本调查中所使用的</w:t>
      </w:r>
      <w:r w:rsidRPr="00590E67">
        <w:rPr>
          <w:rFonts w:ascii="Times New Roman" w:hAnsi="Times New Roman" w:cs="Times New Roman"/>
        </w:rPr>
        <w:t>“</w:t>
      </w:r>
      <w:r w:rsidRPr="00590E67">
        <w:rPr>
          <w:rFonts w:ascii="Times New Roman" w:hAnsi="宋体" w:cs="Times New Roman"/>
        </w:rPr>
        <w:t>营业</w:t>
      </w:r>
      <w:r w:rsidR="008E09FA">
        <w:rPr>
          <w:rFonts w:ascii="Times New Roman" w:hAnsi="宋体" w:cs="Times New Roman" w:hint="eastAsia"/>
        </w:rPr>
        <w:t>利润</w:t>
      </w:r>
      <w:r w:rsidRPr="00590E67">
        <w:rPr>
          <w:rFonts w:ascii="Times New Roman" w:hAnsi="Times New Roman" w:cs="Times New Roman"/>
        </w:rPr>
        <w:t>”</w:t>
      </w:r>
      <w:r w:rsidRPr="00590E67">
        <w:rPr>
          <w:rFonts w:ascii="Times New Roman" w:hAnsi="宋体" w:cs="Times New Roman"/>
        </w:rPr>
        <w:t>一词，专指公共关系服务收入（不含广告、制作等业务），</w:t>
      </w:r>
      <w:r w:rsidRPr="00590E67">
        <w:rPr>
          <w:rFonts w:ascii="Times New Roman" w:hAnsi="Times New Roman" w:cs="Times New Roman"/>
        </w:rPr>
        <w:t>Fee</w:t>
      </w:r>
      <w:r w:rsidRPr="00590E67">
        <w:rPr>
          <w:rFonts w:ascii="Times New Roman" w:hAnsi="宋体" w:cs="Times New Roman"/>
        </w:rPr>
        <w:t>或称毛利润。该收入为含营业税的服务收入，须扣除第三方费用（包括外购劳务、媒体购买等）。</w:t>
      </w:r>
    </w:p>
    <w:p w:rsidR="008B71E2" w:rsidRDefault="008B71E2" w:rsidP="00D85FCE">
      <w:pPr>
        <w:widowControl/>
        <w:jc w:val="center"/>
        <w:rPr>
          <w:rFonts w:ascii="华文中宋" w:eastAsia="华文中宋" w:hAnsi="华文中宋"/>
          <w:b/>
          <w:bCs/>
          <w:sz w:val="28"/>
        </w:rPr>
      </w:pPr>
      <w:r w:rsidRPr="00C91BC6">
        <w:rPr>
          <w:rFonts w:ascii="Times New Roman" w:eastAsia="华文中宋" w:hAnsi="Times New Roman" w:cs="Times New Roman"/>
          <w:b/>
          <w:bCs/>
          <w:sz w:val="28"/>
        </w:rPr>
        <w:t>201</w:t>
      </w:r>
      <w:r w:rsidR="008E09FA" w:rsidRPr="00C91BC6">
        <w:rPr>
          <w:rFonts w:ascii="Times New Roman" w:eastAsia="华文中宋" w:hAnsi="Times New Roman" w:cs="Times New Roman"/>
          <w:b/>
          <w:bCs/>
          <w:sz w:val="28"/>
        </w:rPr>
        <w:t>4</w:t>
      </w:r>
      <w:r>
        <w:rPr>
          <w:rFonts w:ascii="华文中宋" w:eastAsia="华文中宋" w:hAnsi="华文中宋" w:hint="eastAsia"/>
          <w:b/>
          <w:bCs/>
          <w:sz w:val="28"/>
        </w:rPr>
        <w:t>年度</w:t>
      </w:r>
      <w:r w:rsidRPr="000564E4">
        <w:rPr>
          <w:rFonts w:ascii="Times New Roman" w:eastAsia="华文中宋" w:hAnsi="Times New Roman" w:cs="Times New Roman"/>
          <w:b/>
          <w:bCs/>
          <w:sz w:val="28"/>
        </w:rPr>
        <w:t xml:space="preserve"> TOP </w:t>
      </w:r>
      <w:r>
        <w:rPr>
          <w:rFonts w:ascii="华文中宋" w:eastAsia="华文中宋" w:hAnsi="华文中宋" w:hint="eastAsia"/>
          <w:b/>
          <w:bCs/>
          <w:sz w:val="28"/>
        </w:rPr>
        <w:t>公司榜单</w:t>
      </w:r>
    </w:p>
    <w:p w:rsidR="008B71E2" w:rsidRPr="000564E4" w:rsidRDefault="008B71E2" w:rsidP="00D85FCE">
      <w:pPr>
        <w:widowControl/>
        <w:jc w:val="center"/>
        <w:rPr>
          <w:rFonts w:ascii="华文中宋" w:eastAsia="华文中宋" w:hAnsi="华文中宋"/>
        </w:rPr>
      </w:pPr>
      <w:r w:rsidRPr="000564E4">
        <w:rPr>
          <w:rFonts w:ascii="华文中宋" w:eastAsia="华文中宋" w:hAnsi="华文中宋" w:hint="eastAsia"/>
        </w:rPr>
        <w:t>（按公司品牌英文名排序）</w:t>
      </w:r>
    </w:p>
    <w:p w:rsidR="000304A3" w:rsidRDefault="000304A3" w:rsidP="00D85FCE">
      <w:pPr>
        <w:widowControl/>
        <w:jc w:val="center"/>
        <w:rPr>
          <w:rFonts w:ascii="宋体" w:hAnsi="宋体"/>
        </w:rPr>
      </w:pPr>
    </w:p>
    <w:tbl>
      <w:tblPr>
        <w:tblW w:w="8379" w:type="dxa"/>
        <w:tblInd w:w="93" w:type="dxa"/>
        <w:tblLook w:val="04A0"/>
      </w:tblPr>
      <w:tblGrid>
        <w:gridCol w:w="3134"/>
        <w:gridCol w:w="1701"/>
        <w:gridCol w:w="1984"/>
        <w:gridCol w:w="1560"/>
      </w:tblGrid>
      <w:tr w:rsidR="00E21D49" w:rsidRPr="00E21D49" w:rsidTr="00F557C5">
        <w:trPr>
          <w:trHeight w:val="342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AcrossChina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信</w:t>
            </w: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诺传播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Itrax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爱    创</w:t>
            </w:r>
          </w:p>
        </w:tc>
      </w:tr>
      <w:tr w:rsidR="00E21D49" w:rsidRPr="00E21D49" w:rsidTr="00F557C5">
        <w:trPr>
          <w:trHeight w:val="342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Attention Digital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注意力数字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KeyPoint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关 键 点</w:t>
            </w:r>
          </w:p>
        </w:tc>
      </w:tr>
      <w:tr w:rsidR="00E21D49" w:rsidRPr="00E21D49" w:rsidTr="00F557C5">
        <w:trPr>
          <w:trHeight w:val="342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BlueDigital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蓝标数字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Linksus</w:t>
            </w:r>
            <w:proofErr w:type="spellEnd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Marketing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灵思营销</w:t>
            </w:r>
          </w:p>
        </w:tc>
      </w:tr>
      <w:tr w:rsidR="00E21D49" w:rsidRPr="00E21D49" w:rsidTr="00F557C5">
        <w:trPr>
          <w:trHeight w:val="342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Cenbo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森博公关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MR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嘉利恒源</w:t>
            </w:r>
          </w:p>
        </w:tc>
      </w:tr>
      <w:tr w:rsidR="00E21D49" w:rsidRPr="00E21D49" w:rsidTr="00F557C5">
        <w:trPr>
          <w:trHeight w:val="342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Chuan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传智整合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NTI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新势整合</w:t>
            </w:r>
            <w:proofErr w:type="gramEnd"/>
          </w:p>
        </w:tc>
      </w:tr>
      <w:tr w:rsidR="00E21D49" w:rsidRPr="00E21D49" w:rsidTr="00F557C5">
        <w:trPr>
          <w:trHeight w:val="342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CYTS Linkage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中青旅联科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Ogilvy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奥美公关</w:t>
            </w:r>
          </w:p>
        </w:tc>
      </w:tr>
      <w:tr w:rsidR="00E21D49" w:rsidRPr="00E21D49" w:rsidTr="00F557C5">
        <w:trPr>
          <w:trHeight w:val="342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D&amp;S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迪</w:t>
            </w:r>
            <w:proofErr w:type="gramEnd"/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思传媒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Ruder Finn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罗德公关</w:t>
            </w:r>
          </w:p>
        </w:tc>
      </w:tr>
      <w:tr w:rsidR="00E21D49" w:rsidRPr="00E21D49" w:rsidTr="00F557C5">
        <w:trPr>
          <w:trHeight w:val="342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Daniel J. Edelman China Group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爱德</w:t>
            </w: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曼</w:t>
            </w:r>
            <w:proofErr w:type="gramEnd"/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中国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Shunya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宣亚国际</w:t>
            </w:r>
            <w:proofErr w:type="gramEnd"/>
          </w:p>
        </w:tc>
      </w:tr>
      <w:tr w:rsidR="00E21D49" w:rsidRPr="00E21D49" w:rsidTr="00F557C5">
        <w:trPr>
          <w:trHeight w:val="342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EVISION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时空视点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Times Leader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上海德沪</w:t>
            </w:r>
            <w:proofErr w:type="gramEnd"/>
          </w:p>
        </w:tc>
      </w:tr>
      <w:tr w:rsidR="00E21D49" w:rsidRPr="00E21D49" w:rsidTr="00F557C5">
        <w:trPr>
          <w:trHeight w:val="342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FleishmanHillard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福莱（中国）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Webershandwick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万</w:t>
            </w: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博宣伟</w:t>
            </w:r>
            <w:proofErr w:type="gramEnd"/>
          </w:p>
        </w:tc>
      </w:tr>
      <w:tr w:rsidR="00E21D49" w:rsidRPr="00E21D49" w:rsidTr="00F557C5">
        <w:trPr>
          <w:trHeight w:val="342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Genedigi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际恒集团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WINS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汪氏整合</w:t>
            </w:r>
          </w:p>
        </w:tc>
      </w:tr>
      <w:tr w:rsidR="00E21D49" w:rsidRPr="00E21D49" w:rsidTr="00F557C5">
        <w:trPr>
          <w:trHeight w:val="342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HighTeam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海天网联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Zenith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哲基传播</w:t>
            </w:r>
            <w:proofErr w:type="gramEnd"/>
          </w:p>
        </w:tc>
      </w:tr>
      <w:tr w:rsidR="00E21D49" w:rsidRPr="00E21D49" w:rsidTr="00F557C5">
        <w:trPr>
          <w:trHeight w:val="342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Hill+Knowlton</w:t>
            </w:r>
            <w:proofErr w:type="spellEnd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Strategies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伟达(中国）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</w:tr>
    </w:tbl>
    <w:p w:rsidR="00451760" w:rsidRDefault="00451760" w:rsidP="00D85FCE">
      <w:pPr>
        <w:widowControl/>
        <w:jc w:val="center"/>
        <w:rPr>
          <w:rFonts w:ascii="宋体" w:hAnsi="宋体"/>
        </w:rPr>
      </w:pPr>
    </w:p>
    <w:p w:rsidR="0080123C" w:rsidRPr="00F62F76" w:rsidRDefault="0080123C" w:rsidP="00D85FCE">
      <w:pPr>
        <w:jc w:val="center"/>
        <w:rPr>
          <w:rFonts w:ascii="Arial Rounded MT Bold" w:hAnsi="Arial Rounded MT Bold"/>
          <w:color w:val="0000FF"/>
        </w:rPr>
      </w:pPr>
      <w:r w:rsidRPr="00C91BC6">
        <w:rPr>
          <w:rFonts w:ascii="Times New Roman" w:eastAsia="华文中宋" w:hAnsi="Times New Roman" w:cs="Times New Roman"/>
          <w:b/>
          <w:bCs/>
          <w:sz w:val="28"/>
        </w:rPr>
        <w:t>201</w:t>
      </w:r>
      <w:r w:rsidR="008E09FA" w:rsidRPr="00C91BC6">
        <w:rPr>
          <w:rFonts w:ascii="Times New Roman" w:eastAsia="华文中宋" w:hAnsi="Times New Roman" w:cs="Times New Roman"/>
          <w:b/>
          <w:bCs/>
          <w:sz w:val="28"/>
        </w:rPr>
        <w:t>4</w:t>
      </w:r>
      <w:r>
        <w:rPr>
          <w:rFonts w:ascii="华文中宋" w:eastAsia="华文中宋" w:hAnsi="华文中宋" w:hint="eastAsia"/>
          <w:b/>
          <w:bCs/>
          <w:sz w:val="28"/>
        </w:rPr>
        <w:t>年度最具成长性公司榜单</w:t>
      </w:r>
    </w:p>
    <w:p w:rsidR="0080123C" w:rsidRDefault="0080123C" w:rsidP="00D85FCE">
      <w:pPr>
        <w:widowControl/>
        <w:jc w:val="center"/>
        <w:rPr>
          <w:rFonts w:ascii="华文中宋" w:eastAsia="华文中宋" w:hAnsi="华文中宋"/>
        </w:rPr>
      </w:pPr>
      <w:r w:rsidRPr="000564E4">
        <w:rPr>
          <w:rFonts w:ascii="华文中宋" w:eastAsia="华文中宋" w:hAnsi="华文中宋" w:hint="eastAsia"/>
        </w:rPr>
        <w:t>（按公司品牌英文名排序）</w:t>
      </w:r>
    </w:p>
    <w:p w:rsidR="00E21D49" w:rsidRDefault="00E21D49" w:rsidP="00D85FCE">
      <w:pPr>
        <w:widowControl/>
        <w:jc w:val="center"/>
        <w:rPr>
          <w:rFonts w:ascii="华文中宋" w:eastAsia="华文中宋" w:hAnsi="华文中宋"/>
        </w:rPr>
      </w:pPr>
    </w:p>
    <w:tbl>
      <w:tblPr>
        <w:tblW w:w="8379" w:type="dxa"/>
        <w:tblInd w:w="93" w:type="dxa"/>
        <w:tblLook w:val="04A0"/>
      </w:tblPr>
      <w:tblGrid>
        <w:gridCol w:w="3134"/>
        <w:gridCol w:w="1701"/>
        <w:gridCol w:w="1984"/>
        <w:gridCol w:w="1560"/>
      </w:tblGrid>
      <w:tr w:rsidR="00E21D49" w:rsidRPr="00E21D49" w:rsidTr="00DD7576">
        <w:trPr>
          <w:trHeight w:val="3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Activation Group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Cs w:val="21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Cs w:val="21"/>
              </w:rPr>
              <w:t>艾</w:t>
            </w: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Cs w:val="21"/>
              </w:rPr>
              <w:t>德韦宣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Potential Power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Cs w:val="21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Cs w:val="21"/>
              </w:rPr>
              <w:t>势能整合</w:t>
            </w:r>
          </w:p>
        </w:tc>
      </w:tr>
      <w:tr w:rsidR="00E21D49" w:rsidRPr="00E21D49" w:rsidTr="00DD7576">
        <w:trPr>
          <w:trHeight w:val="3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Driving Strong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Cs w:val="21"/>
              </w:rPr>
            </w:pP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Cs w:val="21"/>
              </w:rPr>
              <w:t>达毅思</w:t>
            </w:r>
            <w:proofErr w:type="gramEnd"/>
            <w:r w:rsidRPr="00E21D49">
              <w:rPr>
                <w:rFonts w:ascii="宋体" w:eastAsia="宋体" w:hAnsi="宋体" w:cs="宋体" w:hint="eastAsia"/>
                <w:color w:val="3333FF"/>
                <w:kern w:val="0"/>
                <w:szCs w:val="21"/>
              </w:rPr>
              <w:t>创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Prinsight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Cs w:val="21"/>
              </w:rPr>
            </w:pP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Cs w:val="21"/>
              </w:rPr>
              <w:t>勤致汇合</w:t>
            </w:r>
            <w:proofErr w:type="gramEnd"/>
          </w:p>
        </w:tc>
      </w:tr>
      <w:tr w:rsidR="00E21D49" w:rsidRPr="00E21D49" w:rsidTr="00DD7576">
        <w:trPr>
          <w:trHeight w:val="3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Energize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Cs w:val="21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Cs w:val="21"/>
              </w:rPr>
              <w:t>英</w:t>
            </w: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Cs w:val="21"/>
              </w:rPr>
              <w:t>智传播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Revo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Cs w:val="21"/>
              </w:rPr>
            </w:pP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Cs w:val="21"/>
              </w:rPr>
              <w:t>睿</w:t>
            </w:r>
            <w:proofErr w:type="gramEnd"/>
            <w:r w:rsidRPr="00E21D49">
              <w:rPr>
                <w:rFonts w:ascii="宋体" w:eastAsia="宋体" w:hAnsi="宋体" w:cs="宋体" w:hint="eastAsia"/>
                <w:color w:val="3333FF"/>
                <w:kern w:val="0"/>
                <w:szCs w:val="21"/>
              </w:rPr>
              <w:t xml:space="preserve">    符</w:t>
            </w:r>
          </w:p>
        </w:tc>
      </w:tr>
      <w:tr w:rsidR="00E21D49" w:rsidRPr="00E21D49" w:rsidTr="00DD7576">
        <w:trPr>
          <w:trHeight w:val="3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Globalraytur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Cs w:val="21"/>
              </w:rPr>
            </w:pP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Cs w:val="21"/>
              </w:rPr>
              <w:t>环球瑞都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Topline</w:t>
            </w:r>
            <w:proofErr w:type="spellEnd"/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Consulting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Cs w:val="21"/>
              </w:rPr>
            </w:pPr>
            <w:proofErr w:type="gramStart"/>
            <w:r w:rsidRPr="00E21D49">
              <w:rPr>
                <w:rFonts w:ascii="宋体" w:eastAsia="宋体" w:hAnsi="宋体" w:cs="宋体" w:hint="eastAsia"/>
                <w:color w:val="3333FF"/>
                <w:kern w:val="0"/>
                <w:szCs w:val="21"/>
              </w:rPr>
              <w:t>尚诚同力</w:t>
            </w:r>
            <w:proofErr w:type="gramEnd"/>
          </w:p>
        </w:tc>
      </w:tr>
      <w:tr w:rsidR="00E21D49" w:rsidRPr="00E21D49" w:rsidTr="00DD7576">
        <w:trPr>
          <w:trHeight w:val="3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HRH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Cs w:val="21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Cs w:val="21"/>
              </w:rPr>
              <w:t>恒 瑞 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21D4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Trends Digital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D49" w:rsidRPr="00E21D49" w:rsidRDefault="00E21D49" w:rsidP="00E21D49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Cs w:val="21"/>
              </w:rPr>
            </w:pPr>
            <w:r w:rsidRPr="00E21D49">
              <w:rPr>
                <w:rFonts w:ascii="宋体" w:eastAsia="宋体" w:hAnsi="宋体" w:cs="宋体" w:hint="eastAsia"/>
                <w:color w:val="3333FF"/>
                <w:kern w:val="0"/>
                <w:szCs w:val="21"/>
              </w:rPr>
              <w:t>趋势纵横</w:t>
            </w:r>
          </w:p>
        </w:tc>
      </w:tr>
    </w:tbl>
    <w:p w:rsidR="000304A3" w:rsidRDefault="000304A3" w:rsidP="00D85FCE">
      <w:pPr>
        <w:widowControl/>
        <w:jc w:val="center"/>
        <w:rPr>
          <w:rFonts w:ascii="宋体" w:hAnsi="宋体"/>
        </w:rPr>
      </w:pPr>
    </w:p>
    <w:p w:rsidR="00C91B51" w:rsidRPr="00D63F7F" w:rsidRDefault="008B71E2" w:rsidP="00D85FCE">
      <w:pPr>
        <w:widowControl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/>
          <w:b/>
          <w:bCs/>
          <w:sz w:val="36"/>
          <w:szCs w:val="36"/>
        </w:rPr>
        <w:br w:type="page"/>
      </w:r>
      <w:r w:rsidR="00C91B51" w:rsidRPr="00D63F7F"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行业</w:t>
      </w:r>
      <w:r w:rsidR="003627BC" w:rsidRPr="00D63F7F">
        <w:rPr>
          <w:rFonts w:ascii="华文中宋" w:eastAsia="华文中宋" w:hAnsi="华文中宋" w:hint="eastAsia"/>
          <w:b/>
          <w:bCs/>
          <w:sz w:val="36"/>
          <w:szCs w:val="36"/>
        </w:rPr>
        <w:t>调查分析</w:t>
      </w:r>
    </w:p>
    <w:p w:rsidR="003F0BFB" w:rsidRDefault="003F0BFB" w:rsidP="003F0BFB">
      <w:pPr>
        <w:spacing w:line="276" w:lineRule="auto"/>
        <w:ind w:firstLineChars="200" w:firstLine="420"/>
        <w:rPr>
          <w:rFonts w:ascii="Times New Roman" w:hAnsi="Times New Roman"/>
          <w:b/>
          <w:szCs w:val="21"/>
        </w:rPr>
      </w:pPr>
      <w:r w:rsidRPr="00CB4762">
        <w:rPr>
          <w:rFonts w:ascii="Times New Roman" w:hAnsi="Times New Roman" w:hint="eastAsia"/>
          <w:szCs w:val="21"/>
        </w:rPr>
        <w:t>201</w:t>
      </w:r>
      <w:r w:rsidR="00CB4762" w:rsidRPr="00CB4762">
        <w:rPr>
          <w:rFonts w:ascii="Times New Roman" w:hAnsi="Times New Roman" w:hint="eastAsia"/>
          <w:szCs w:val="21"/>
        </w:rPr>
        <w:t>4</w:t>
      </w:r>
      <w:r w:rsidRPr="00CB4762">
        <w:rPr>
          <w:rFonts w:ascii="Times New Roman" w:hAnsi="Times New Roman" w:hint="eastAsia"/>
          <w:szCs w:val="21"/>
        </w:rPr>
        <w:t>年，</w:t>
      </w:r>
      <w:r w:rsidR="00CB555E" w:rsidRPr="00CB555E">
        <w:rPr>
          <w:rFonts w:ascii="Times New Roman" w:hAnsi="Times New Roman" w:hint="eastAsia"/>
          <w:szCs w:val="21"/>
        </w:rPr>
        <w:t>受国家宏观经济调控的影响，</w:t>
      </w:r>
      <w:r w:rsidRPr="00CB4762">
        <w:rPr>
          <w:rFonts w:ascii="Times New Roman" w:hAnsi="Times New Roman" w:hint="eastAsia"/>
          <w:szCs w:val="21"/>
        </w:rPr>
        <w:t>中国公共关系市场</w:t>
      </w:r>
      <w:r w:rsidR="00CB555E">
        <w:rPr>
          <w:rFonts w:ascii="Times New Roman" w:hAnsi="Times New Roman" w:hint="eastAsia"/>
          <w:szCs w:val="21"/>
        </w:rPr>
        <w:t>增长缓慢</w:t>
      </w:r>
      <w:r w:rsidRPr="00CB4762">
        <w:rPr>
          <w:rFonts w:ascii="Times New Roman" w:hAnsi="Times New Roman" w:hint="eastAsia"/>
          <w:szCs w:val="21"/>
        </w:rPr>
        <w:t>。</w:t>
      </w:r>
      <w:r w:rsidRPr="00CB4762">
        <w:rPr>
          <w:rFonts w:ascii="Times New Roman" w:hAnsi="Times New Roman" w:hint="eastAsia"/>
          <w:b/>
          <w:szCs w:val="21"/>
        </w:rPr>
        <w:t>据调查估算，整个市场的年营业规模约为</w:t>
      </w:r>
      <w:r w:rsidR="003F449B">
        <w:rPr>
          <w:rFonts w:ascii="Times New Roman" w:hAnsi="Times New Roman" w:hint="eastAsia"/>
          <w:b/>
          <w:szCs w:val="21"/>
        </w:rPr>
        <w:t>380</w:t>
      </w:r>
      <w:r w:rsidRPr="00CB4762">
        <w:rPr>
          <w:rFonts w:ascii="Times New Roman" w:hAnsi="Times New Roman" w:hint="eastAsia"/>
          <w:b/>
          <w:szCs w:val="21"/>
        </w:rPr>
        <w:t>亿元人民币，年增长率为</w:t>
      </w:r>
      <w:r w:rsidR="006A7CB5" w:rsidRPr="00CB4762">
        <w:rPr>
          <w:rFonts w:ascii="Times New Roman" w:hAnsi="Times New Roman" w:hint="eastAsia"/>
          <w:b/>
          <w:szCs w:val="21"/>
        </w:rPr>
        <w:t>1</w:t>
      </w:r>
      <w:r w:rsidR="003F449B">
        <w:rPr>
          <w:rFonts w:ascii="Times New Roman" w:hAnsi="Times New Roman" w:hint="eastAsia"/>
          <w:b/>
          <w:szCs w:val="21"/>
        </w:rPr>
        <w:t>1.5</w:t>
      </w:r>
      <w:r w:rsidRPr="00CB4762">
        <w:rPr>
          <w:rFonts w:ascii="Times New Roman" w:hAnsi="Times New Roman" w:hint="eastAsia"/>
          <w:b/>
          <w:szCs w:val="21"/>
        </w:rPr>
        <w:t>%</w:t>
      </w:r>
      <w:r w:rsidRPr="00CB4762">
        <w:rPr>
          <w:rFonts w:ascii="Times New Roman" w:hAnsi="Times New Roman" w:hint="eastAsia"/>
          <w:b/>
          <w:szCs w:val="21"/>
        </w:rPr>
        <w:t>左右。</w:t>
      </w:r>
    </w:p>
    <w:p w:rsidR="00193020" w:rsidRPr="00364902" w:rsidRDefault="00364902" w:rsidP="00364902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364902">
        <w:rPr>
          <w:rFonts w:ascii="Times New Roman" w:hAnsi="Times New Roman" w:hint="eastAsia"/>
          <w:szCs w:val="21"/>
        </w:rPr>
        <w:t>随着新媒体时代的不断发展</w:t>
      </w:r>
      <w:r>
        <w:rPr>
          <w:rFonts w:ascii="Times New Roman" w:hAnsi="Times New Roman" w:hint="eastAsia"/>
          <w:szCs w:val="21"/>
        </w:rPr>
        <w:t>，公共关系业务的结构性变化也逐渐凸显。传统公关业务增速放缓，而新兴公关业务（如数字化传播、新媒体营销等）发展迅猛。总体而言，作为新兴产业的公共关系行业，行业的成长速度仍然要高于整体经济发展的增速。</w:t>
      </w:r>
    </w:p>
    <w:p w:rsidR="00211ADE" w:rsidRPr="00D62D5D" w:rsidRDefault="00F47BBB" w:rsidP="00D85FCE">
      <w:pPr>
        <w:rPr>
          <w:rFonts w:ascii="Times New Roman" w:hAnsi="Times New Roman" w:cs="Times New Roman"/>
          <w:szCs w:val="21"/>
        </w:rPr>
      </w:pPr>
      <w:r w:rsidRPr="00D62D5D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238750" cy="3028950"/>
            <wp:effectExtent l="19050" t="0" r="19050" b="0"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5EFC" w:rsidRPr="00E85B1A" w:rsidRDefault="008E5EFC" w:rsidP="00D85FCE">
      <w:pPr>
        <w:jc w:val="center"/>
        <w:rPr>
          <w:rFonts w:ascii="黑体" w:eastAsia="黑体" w:hAnsi="黑体" w:cs="Times New Roman"/>
          <w:szCs w:val="21"/>
        </w:rPr>
      </w:pPr>
    </w:p>
    <w:p w:rsidR="008E5EFC" w:rsidRDefault="00D62D5D" w:rsidP="008E5EFC">
      <w:pPr>
        <w:ind w:firstLine="435"/>
        <w:rPr>
          <w:rFonts w:ascii="Times New Roman" w:hAnsi="Times New Roman" w:cs="Times New Roman"/>
          <w:szCs w:val="21"/>
        </w:rPr>
      </w:pPr>
      <w:r w:rsidRPr="00CB4762">
        <w:rPr>
          <w:rFonts w:ascii="Times New Roman" w:cs="Times New Roman"/>
          <w:szCs w:val="21"/>
        </w:rPr>
        <w:t>调查显示，</w:t>
      </w:r>
      <w:r w:rsidRPr="00CB4762">
        <w:rPr>
          <w:rFonts w:ascii="Times New Roman" w:hAnsi="Times New Roman" w:cs="Times New Roman"/>
          <w:szCs w:val="21"/>
        </w:rPr>
        <w:t>201</w:t>
      </w:r>
      <w:r w:rsidR="00CB4762">
        <w:rPr>
          <w:rFonts w:ascii="Times New Roman" w:hAnsi="Times New Roman" w:cs="Times New Roman" w:hint="eastAsia"/>
          <w:szCs w:val="21"/>
        </w:rPr>
        <w:t>4</w:t>
      </w:r>
      <w:r w:rsidRPr="00CB4762">
        <w:rPr>
          <w:rFonts w:ascii="Times New Roman" w:cs="Times New Roman"/>
          <w:szCs w:val="21"/>
        </w:rPr>
        <w:t>年度</w:t>
      </w:r>
      <w:r w:rsidR="006E7164" w:rsidRPr="00CB4762">
        <w:rPr>
          <w:rFonts w:ascii="Times New Roman" w:cs="Times New Roman" w:hint="eastAsia"/>
          <w:szCs w:val="21"/>
        </w:rPr>
        <w:t>中国</w:t>
      </w:r>
      <w:r w:rsidRPr="00CB4762">
        <w:rPr>
          <w:rFonts w:ascii="Times New Roman" w:cs="Times New Roman"/>
          <w:szCs w:val="21"/>
        </w:rPr>
        <w:t>公共关系服务市场的前</w:t>
      </w:r>
      <w:r w:rsidR="00CB4762">
        <w:rPr>
          <w:rFonts w:ascii="Times New Roman" w:cs="Times New Roman" w:hint="eastAsia"/>
          <w:szCs w:val="21"/>
        </w:rPr>
        <w:t>5</w:t>
      </w:r>
      <w:r w:rsidRPr="00CB4762">
        <w:rPr>
          <w:rFonts w:ascii="Times New Roman" w:cs="Times New Roman"/>
          <w:szCs w:val="21"/>
        </w:rPr>
        <w:t>位为汽车</w:t>
      </w:r>
      <w:r w:rsidR="00566C72">
        <w:rPr>
          <w:rFonts w:ascii="Times New Roman" w:cs="Times New Roman" w:hint="eastAsia"/>
          <w:szCs w:val="21"/>
        </w:rPr>
        <w:t>（</w:t>
      </w:r>
      <w:r w:rsidR="00566C72">
        <w:rPr>
          <w:rFonts w:ascii="Times New Roman" w:cs="Times New Roman" w:hint="eastAsia"/>
          <w:szCs w:val="21"/>
        </w:rPr>
        <w:t>2</w:t>
      </w:r>
      <w:r w:rsidR="00696B1B">
        <w:rPr>
          <w:rFonts w:ascii="Times New Roman" w:cs="Times New Roman" w:hint="eastAsia"/>
          <w:szCs w:val="21"/>
        </w:rPr>
        <w:t>6.9</w:t>
      </w:r>
      <w:r w:rsidR="00566C72">
        <w:rPr>
          <w:rFonts w:ascii="Times New Roman" w:cs="Times New Roman" w:hint="eastAsia"/>
          <w:szCs w:val="21"/>
        </w:rPr>
        <w:t>%</w:t>
      </w:r>
      <w:r w:rsidR="00566C72">
        <w:rPr>
          <w:rFonts w:ascii="Times New Roman" w:cs="Times New Roman" w:hint="eastAsia"/>
          <w:szCs w:val="21"/>
        </w:rPr>
        <w:t>）</w:t>
      </w:r>
      <w:r w:rsidRPr="00CB4762">
        <w:rPr>
          <w:rFonts w:ascii="Times New Roman" w:cs="Times New Roman"/>
          <w:szCs w:val="21"/>
        </w:rPr>
        <w:t>、快速消费</w:t>
      </w:r>
      <w:r w:rsidR="009947D4" w:rsidRPr="00CB4762">
        <w:rPr>
          <w:rFonts w:ascii="Times New Roman" w:cs="Times New Roman" w:hint="eastAsia"/>
          <w:szCs w:val="21"/>
        </w:rPr>
        <w:t>品</w:t>
      </w:r>
      <w:r w:rsidR="00787D16">
        <w:rPr>
          <w:rFonts w:ascii="Times New Roman" w:cs="Times New Roman" w:hint="eastAsia"/>
          <w:szCs w:val="21"/>
        </w:rPr>
        <w:t>（</w:t>
      </w:r>
      <w:r w:rsidR="00787D16">
        <w:rPr>
          <w:rFonts w:ascii="Times New Roman" w:cs="Times New Roman" w:hint="eastAsia"/>
          <w:szCs w:val="21"/>
        </w:rPr>
        <w:t>14</w:t>
      </w:r>
      <w:r w:rsidR="00696B1B">
        <w:rPr>
          <w:rFonts w:ascii="Times New Roman" w:cs="Times New Roman" w:hint="eastAsia"/>
          <w:szCs w:val="21"/>
        </w:rPr>
        <w:t>.1</w:t>
      </w:r>
      <w:r w:rsidR="00787D16">
        <w:rPr>
          <w:rFonts w:ascii="Times New Roman" w:cs="Times New Roman" w:hint="eastAsia"/>
          <w:szCs w:val="21"/>
        </w:rPr>
        <w:t>%</w:t>
      </w:r>
      <w:r w:rsidR="00787D16">
        <w:rPr>
          <w:rFonts w:ascii="Times New Roman" w:cs="Times New Roman" w:hint="eastAsia"/>
          <w:szCs w:val="21"/>
        </w:rPr>
        <w:t>）</w:t>
      </w:r>
      <w:r w:rsidRPr="00CB4762">
        <w:rPr>
          <w:rFonts w:ascii="Times New Roman" w:cs="Times New Roman"/>
          <w:szCs w:val="21"/>
        </w:rPr>
        <w:t>、</w:t>
      </w:r>
      <w:r w:rsidR="00696B1B">
        <w:rPr>
          <w:rFonts w:ascii="Times New Roman" w:cs="Times New Roman" w:hint="eastAsia"/>
          <w:szCs w:val="21"/>
        </w:rPr>
        <w:t>医疗保健（</w:t>
      </w:r>
      <w:r w:rsidR="00696B1B">
        <w:rPr>
          <w:rFonts w:ascii="Times New Roman" w:cs="Times New Roman" w:hint="eastAsia"/>
          <w:szCs w:val="21"/>
        </w:rPr>
        <w:t>10%</w:t>
      </w:r>
      <w:r w:rsidR="00696B1B">
        <w:rPr>
          <w:rFonts w:ascii="Times New Roman" w:cs="Times New Roman" w:hint="eastAsia"/>
          <w:szCs w:val="21"/>
        </w:rPr>
        <w:t>）、</w:t>
      </w:r>
      <w:r w:rsidR="00CB4762">
        <w:rPr>
          <w:rFonts w:ascii="Times New Roman" w:cs="Times New Roman" w:hint="eastAsia"/>
          <w:szCs w:val="21"/>
        </w:rPr>
        <w:t>通讯</w:t>
      </w:r>
      <w:r w:rsidR="00787D16">
        <w:rPr>
          <w:rFonts w:ascii="Times New Roman" w:cs="Times New Roman" w:hint="eastAsia"/>
          <w:szCs w:val="21"/>
        </w:rPr>
        <w:t>（</w:t>
      </w:r>
      <w:r w:rsidR="00696B1B">
        <w:rPr>
          <w:rFonts w:ascii="Times New Roman" w:cs="Times New Roman" w:hint="eastAsia"/>
          <w:szCs w:val="21"/>
        </w:rPr>
        <w:t>7.7</w:t>
      </w:r>
      <w:r w:rsidR="00787D16">
        <w:rPr>
          <w:rFonts w:ascii="Times New Roman" w:cs="Times New Roman" w:hint="eastAsia"/>
          <w:szCs w:val="21"/>
        </w:rPr>
        <w:t>%</w:t>
      </w:r>
      <w:r w:rsidR="00787D16">
        <w:rPr>
          <w:rFonts w:ascii="Times New Roman" w:cs="Times New Roman" w:hint="eastAsia"/>
          <w:szCs w:val="21"/>
        </w:rPr>
        <w:t>）</w:t>
      </w:r>
      <w:r w:rsidR="001A6A88" w:rsidRPr="00CB4762">
        <w:rPr>
          <w:rFonts w:ascii="Times New Roman" w:cs="Times New Roman" w:hint="eastAsia"/>
          <w:szCs w:val="21"/>
        </w:rPr>
        <w:t>、</w:t>
      </w:r>
      <w:r w:rsidR="00566C72">
        <w:rPr>
          <w:rFonts w:ascii="Times New Roman" w:hAnsi="Times New Roman" w:cs="Times New Roman" w:hint="eastAsia"/>
          <w:szCs w:val="21"/>
        </w:rPr>
        <w:t>互联网</w:t>
      </w:r>
      <w:r w:rsidR="00787D16">
        <w:rPr>
          <w:rFonts w:ascii="Times New Roman" w:hAnsi="Times New Roman" w:cs="Times New Roman" w:hint="eastAsia"/>
          <w:szCs w:val="21"/>
        </w:rPr>
        <w:t>（</w:t>
      </w:r>
      <w:r w:rsidR="00696B1B">
        <w:rPr>
          <w:rFonts w:ascii="Times New Roman" w:hAnsi="Times New Roman" w:cs="Times New Roman" w:hint="eastAsia"/>
          <w:szCs w:val="21"/>
        </w:rPr>
        <w:t>5.4</w:t>
      </w:r>
      <w:r w:rsidR="00787D16">
        <w:rPr>
          <w:rFonts w:ascii="Times New Roman" w:hAnsi="Times New Roman" w:cs="Times New Roman" w:hint="eastAsia"/>
          <w:szCs w:val="21"/>
        </w:rPr>
        <w:t>%</w:t>
      </w:r>
      <w:r w:rsidR="00787D16">
        <w:rPr>
          <w:rFonts w:ascii="Times New Roman" w:hAnsi="Times New Roman" w:cs="Times New Roman" w:hint="eastAsia"/>
          <w:szCs w:val="21"/>
        </w:rPr>
        <w:t>）</w:t>
      </w:r>
      <w:r w:rsidR="00566C72">
        <w:rPr>
          <w:rFonts w:ascii="Times New Roman" w:hAnsi="Times New Roman" w:cs="Times New Roman" w:hint="eastAsia"/>
          <w:szCs w:val="21"/>
        </w:rPr>
        <w:t>，</w:t>
      </w:r>
      <w:r w:rsidR="00787D16">
        <w:rPr>
          <w:rFonts w:ascii="Times New Roman" w:hAnsi="Times New Roman" w:cs="Times New Roman" w:hint="eastAsia"/>
          <w:szCs w:val="21"/>
        </w:rPr>
        <w:t>其他如</w:t>
      </w:r>
      <w:r w:rsidR="00787D16">
        <w:rPr>
          <w:rFonts w:ascii="Times New Roman" w:hAnsi="Times New Roman" w:cs="Times New Roman" w:hint="eastAsia"/>
          <w:szCs w:val="21"/>
        </w:rPr>
        <w:t>IT</w:t>
      </w:r>
      <w:r w:rsidR="00787D16">
        <w:rPr>
          <w:rFonts w:ascii="Times New Roman" w:hAnsi="Times New Roman" w:cs="Times New Roman" w:hint="eastAsia"/>
          <w:szCs w:val="21"/>
        </w:rPr>
        <w:t>、</w:t>
      </w:r>
      <w:r w:rsidR="00696B1B">
        <w:rPr>
          <w:rFonts w:ascii="Times New Roman" w:hAnsi="Times New Roman" w:cs="Times New Roman" w:hint="eastAsia"/>
          <w:szCs w:val="21"/>
        </w:rPr>
        <w:t>制造业、房地产、</w:t>
      </w:r>
      <w:r w:rsidR="00787D16">
        <w:rPr>
          <w:rFonts w:ascii="Times New Roman" w:hAnsi="Times New Roman" w:cs="Times New Roman" w:hint="eastAsia"/>
          <w:szCs w:val="21"/>
        </w:rPr>
        <w:t>等占</w:t>
      </w:r>
      <w:r w:rsidR="00696B1B">
        <w:rPr>
          <w:rFonts w:ascii="Times New Roman" w:hAnsi="Times New Roman" w:cs="Times New Roman" w:hint="eastAsia"/>
          <w:szCs w:val="21"/>
        </w:rPr>
        <w:t>35.9</w:t>
      </w:r>
      <w:r w:rsidR="00787D16">
        <w:rPr>
          <w:rFonts w:ascii="Times New Roman" w:hAnsi="Times New Roman" w:cs="Times New Roman" w:hint="eastAsia"/>
          <w:szCs w:val="21"/>
        </w:rPr>
        <w:t>%</w:t>
      </w:r>
      <w:r w:rsidR="00787D16">
        <w:rPr>
          <w:rFonts w:ascii="Times New Roman" w:hAnsi="Times New Roman" w:cs="Times New Roman" w:hint="eastAsia"/>
          <w:szCs w:val="21"/>
        </w:rPr>
        <w:t>。</w:t>
      </w:r>
      <w:r w:rsidR="00696B1B">
        <w:rPr>
          <w:rFonts w:ascii="Times New Roman" w:hAnsi="Times New Roman" w:cs="Times New Roman" w:hint="eastAsia"/>
          <w:szCs w:val="21"/>
        </w:rPr>
        <w:t>医疗保健及</w:t>
      </w:r>
      <w:r w:rsidR="00787D16">
        <w:rPr>
          <w:rFonts w:ascii="Times New Roman" w:hAnsi="Times New Roman" w:cs="Times New Roman" w:hint="eastAsia"/>
          <w:szCs w:val="21"/>
        </w:rPr>
        <w:t>互联网行业的迅猛发展，</w:t>
      </w:r>
      <w:r w:rsidR="0033746E">
        <w:rPr>
          <w:rFonts w:ascii="Times New Roman" w:hAnsi="Times New Roman" w:cs="Times New Roman" w:hint="eastAsia"/>
          <w:szCs w:val="21"/>
        </w:rPr>
        <w:t>使</w:t>
      </w:r>
      <w:r w:rsidR="008E5EFC">
        <w:rPr>
          <w:rFonts w:ascii="Times New Roman" w:hAnsi="Times New Roman" w:cs="Times New Roman" w:hint="eastAsia"/>
          <w:szCs w:val="21"/>
        </w:rPr>
        <w:t>此领域的公共关系业务</w:t>
      </w:r>
      <w:r w:rsidR="0033746E">
        <w:rPr>
          <w:rFonts w:ascii="Times New Roman" w:hAnsi="Times New Roman" w:cs="Times New Roman" w:hint="eastAsia"/>
          <w:szCs w:val="21"/>
        </w:rPr>
        <w:t>需求</w:t>
      </w:r>
      <w:r w:rsidR="008E5EFC">
        <w:rPr>
          <w:rFonts w:ascii="Times New Roman" w:hAnsi="Times New Roman" w:cs="Times New Roman" w:hint="eastAsia"/>
          <w:szCs w:val="21"/>
        </w:rPr>
        <w:t>也随之增加。</w:t>
      </w:r>
    </w:p>
    <w:p w:rsidR="00D63F7F" w:rsidRDefault="00D63F7F" w:rsidP="008E5EFC">
      <w:pPr>
        <w:ind w:firstLine="435"/>
        <w:rPr>
          <w:rFonts w:ascii="Times New Roman" w:hAnsi="Times New Roman" w:cs="Times New Roman"/>
          <w:szCs w:val="21"/>
        </w:rPr>
      </w:pPr>
    </w:p>
    <w:p w:rsidR="001A07D4" w:rsidRPr="00D63F7F" w:rsidRDefault="001A07D4" w:rsidP="001A07D4">
      <w:pPr>
        <w:jc w:val="center"/>
        <w:rPr>
          <w:rFonts w:ascii="华文中宋" w:eastAsia="华文中宋" w:hAnsi="华文中宋" w:cs="Times New Roman"/>
          <w:b/>
          <w:szCs w:val="21"/>
        </w:rPr>
      </w:pPr>
      <w:r w:rsidRPr="00C91BC6">
        <w:rPr>
          <w:rFonts w:ascii="Times New Roman" w:eastAsia="华文中宋" w:hAnsi="Times New Roman" w:cs="Times New Roman"/>
          <w:b/>
          <w:szCs w:val="21"/>
        </w:rPr>
        <w:t>2013</w:t>
      </w:r>
      <w:r w:rsidR="000F2077" w:rsidRPr="00D63F7F">
        <w:rPr>
          <w:rFonts w:ascii="华文中宋" w:eastAsia="华文中宋" w:hAnsi="华文中宋" w:cs="Times New Roman" w:hint="eastAsia"/>
          <w:b/>
          <w:szCs w:val="21"/>
        </w:rPr>
        <w:t>年和</w:t>
      </w:r>
      <w:r w:rsidRPr="00C91BC6">
        <w:rPr>
          <w:rFonts w:ascii="Times New Roman" w:eastAsia="华文中宋" w:hAnsi="Times New Roman" w:cs="Times New Roman"/>
          <w:b/>
          <w:szCs w:val="21"/>
        </w:rPr>
        <w:t>2014</w:t>
      </w:r>
      <w:r w:rsidR="000F2077" w:rsidRPr="00D63F7F">
        <w:rPr>
          <w:rFonts w:ascii="华文中宋" w:eastAsia="华文中宋" w:hAnsi="华文中宋" w:cs="Times New Roman" w:hint="eastAsia"/>
          <w:b/>
          <w:szCs w:val="21"/>
        </w:rPr>
        <w:t>年</w:t>
      </w:r>
      <w:r w:rsidRPr="00D63F7F">
        <w:rPr>
          <w:rFonts w:ascii="华文中宋" w:eastAsia="华文中宋" w:hAnsi="华文中宋" w:cs="Times New Roman"/>
          <w:b/>
          <w:szCs w:val="21"/>
        </w:rPr>
        <w:t>行业市场份额对比</w:t>
      </w:r>
    </w:p>
    <w:p w:rsidR="00D63F7F" w:rsidRPr="00D63F7F" w:rsidRDefault="00D63F7F" w:rsidP="001A07D4">
      <w:pPr>
        <w:jc w:val="center"/>
        <w:rPr>
          <w:rFonts w:ascii="Times New Roman" w:hAnsi="Times New Roman" w:cs="Times New Roman"/>
          <w:b/>
          <w:szCs w:val="21"/>
        </w:rPr>
      </w:pPr>
    </w:p>
    <w:tbl>
      <w:tblPr>
        <w:tblW w:w="8364" w:type="dxa"/>
        <w:tblInd w:w="108" w:type="dxa"/>
        <w:tblLook w:val="04A0"/>
      </w:tblPr>
      <w:tblGrid>
        <w:gridCol w:w="3067"/>
        <w:gridCol w:w="2603"/>
        <w:gridCol w:w="2694"/>
      </w:tblGrid>
      <w:tr w:rsidR="00B22995" w:rsidRPr="00B22995" w:rsidTr="00B22995">
        <w:trPr>
          <w:trHeight w:val="402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B22995" w:rsidRPr="00B22995" w:rsidRDefault="00B22995" w:rsidP="00B229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行业市场份额</w:t>
            </w:r>
            <w:r w:rsidRPr="00B2299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B22995" w:rsidRPr="00B22995" w:rsidRDefault="00B22995" w:rsidP="00B2299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22"/>
              </w:rPr>
              <w:t>2014</w:t>
            </w:r>
            <w:r w:rsidRPr="00B22995"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22"/>
              </w:rPr>
              <w:t>年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hideMark/>
          </w:tcPr>
          <w:p w:rsidR="00B22995" w:rsidRPr="00B22995" w:rsidRDefault="00B22995" w:rsidP="00B2299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22"/>
              </w:rPr>
              <w:t>2013</w:t>
            </w:r>
            <w:r w:rsidRPr="00B22995"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22"/>
              </w:rPr>
              <w:t>年</w:t>
            </w:r>
          </w:p>
        </w:tc>
      </w:tr>
      <w:tr w:rsidR="00B22995" w:rsidRPr="00B22995" w:rsidTr="00B22995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B22995" w:rsidRPr="00B22995" w:rsidRDefault="00B22995" w:rsidP="00B229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汽车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26.9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25.0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B22995" w:rsidRPr="00B22995" w:rsidTr="00B22995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B22995" w:rsidRPr="00B22995" w:rsidRDefault="00B22995" w:rsidP="00B229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proofErr w:type="gramStart"/>
            <w:r w:rsidRPr="00B2299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快消</w:t>
            </w:r>
            <w:proofErr w:type="gram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14.1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15.5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B22995" w:rsidRPr="00B22995" w:rsidTr="00B22995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B22995" w:rsidRPr="00B22995" w:rsidRDefault="00B22995" w:rsidP="00B229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医疗保健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10.0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3.3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B22995" w:rsidRPr="00B22995" w:rsidTr="00B22995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B22995" w:rsidRPr="00B22995" w:rsidRDefault="00B22995" w:rsidP="00B229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通讯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7.7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5.8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B22995" w:rsidRPr="00B22995" w:rsidTr="00B22995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B22995" w:rsidRPr="00B22995" w:rsidRDefault="00B22995" w:rsidP="00B229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互联网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5.4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3.2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B22995" w:rsidRPr="00B22995" w:rsidTr="00B22995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B22995" w:rsidRPr="00B22995" w:rsidRDefault="00B22995" w:rsidP="00B229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IT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22995" w:rsidRPr="00B22995" w:rsidRDefault="00B22995" w:rsidP="000E1F0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4.9%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6.3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B22995" w:rsidRPr="00B22995" w:rsidTr="00B22995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B22995" w:rsidRPr="00B22995" w:rsidRDefault="00B22995" w:rsidP="00B229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制造业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4.8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7.5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B22995" w:rsidRPr="00B22995" w:rsidTr="00B22995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B22995" w:rsidRPr="00B22995" w:rsidRDefault="00B22995" w:rsidP="00B229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房地产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4.4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6.9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B22995" w:rsidRPr="00B22995" w:rsidTr="00B22995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504D"/>
            <w:hideMark/>
          </w:tcPr>
          <w:p w:rsidR="00B22995" w:rsidRPr="00B22995" w:rsidRDefault="00B22995" w:rsidP="00B229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其他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21.8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22995" w:rsidRPr="00B22995" w:rsidRDefault="000E1F02" w:rsidP="00B2299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26.5</w:t>
            </w:r>
            <w:r w:rsidR="00B22995"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</w:tbl>
    <w:p w:rsidR="00ED2680" w:rsidRPr="00CC558D" w:rsidRDefault="00ED2680" w:rsidP="0069230B">
      <w:pPr>
        <w:spacing w:beforeLines="50" w:afterLines="50"/>
        <w:ind w:firstLineChars="200" w:firstLine="422"/>
        <w:jc w:val="left"/>
        <w:rPr>
          <w:rFonts w:ascii="宋体" w:eastAsia="宋体" w:hAnsi="宋体"/>
          <w:b/>
        </w:rPr>
      </w:pPr>
      <w:r w:rsidRPr="00CC558D">
        <w:rPr>
          <w:rFonts w:ascii="宋体" w:eastAsia="宋体" w:hAnsi="宋体" w:hint="eastAsia"/>
          <w:b/>
        </w:rPr>
        <w:lastRenderedPageBreak/>
        <w:t>鉴于TOP25和10家最具成长性公司数据的相对准确性，我们依据这35家公司数据从业务领域、业务类型、业务潜力和区域市场等方面加以统计分析。</w:t>
      </w:r>
    </w:p>
    <w:p w:rsidR="00ED2680" w:rsidRPr="00AC7D2D" w:rsidRDefault="00C470D5" w:rsidP="00D85FCE">
      <w:pPr>
        <w:ind w:firstLineChars="200" w:firstLine="420"/>
        <w:rPr>
          <w:rFonts w:ascii="Times New Roman" w:hAnsi="Times New Roman" w:cs="Times New Roman"/>
          <w:szCs w:val="21"/>
          <w:highlight w:val="yellow"/>
        </w:rPr>
      </w:pPr>
      <w:r w:rsidRPr="00B53C44">
        <w:rPr>
          <w:rFonts w:ascii="Times New Roman" w:hAnsi="Times New Roman" w:cs="Times New Roman"/>
          <w:szCs w:val="21"/>
        </w:rPr>
        <w:t>3</w:t>
      </w:r>
      <w:r w:rsidR="006D01B5" w:rsidRPr="00B53C44">
        <w:rPr>
          <w:rFonts w:ascii="Times New Roman" w:hAnsi="Times New Roman" w:cs="Times New Roman"/>
          <w:szCs w:val="21"/>
        </w:rPr>
        <w:t>5</w:t>
      </w:r>
      <w:r w:rsidR="006D01B5" w:rsidRPr="00B53C44">
        <w:rPr>
          <w:rFonts w:ascii="Times New Roman" w:hAnsi="Times New Roman" w:cs="Times New Roman"/>
          <w:szCs w:val="21"/>
        </w:rPr>
        <w:t>家公司中，</w:t>
      </w:r>
      <w:r w:rsidR="00327164">
        <w:rPr>
          <w:rFonts w:ascii="Times New Roman" w:hAnsi="Times New Roman" w:cs="Times New Roman" w:hint="eastAsia"/>
          <w:szCs w:val="21"/>
        </w:rPr>
        <w:t>27</w:t>
      </w:r>
      <w:r w:rsidR="006D01B5" w:rsidRPr="00B53C44">
        <w:rPr>
          <w:rFonts w:ascii="Times New Roman" w:hAnsi="Times New Roman" w:cs="Times New Roman"/>
          <w:szCs w:val="21"/>
        </w:rPr>
        <w:t>家开展汽车业务</w:t>
      </w:r>
      <w:r w:rsidR="00B72D51" w:rsidRPr="00B53C44">
        <w:rPr>
          <w:rFonts w:ascii="Times New Roman" w:hAnsi="Times New Roman" w:cs="Times New Roman"/>
          <w:szCs w:val="21"/>
        </w:rPr>
        <w:t>（</w:t>
      </w:r>
      <w:r w:rsidR="00327164">
        <w:rPr>
          <w:rFonts w:ascii="Times New Roman" w:hAnsi="Times New Roman" w:cs="Times New Roman" w:hint="eastAsia"/>
          <w:szCs w:val="21"/>
        </w:rPr>
        <w:t>77</w:t>
      </w:r>
      <w:r w:rsidR="00B72D51" w:rsidRPr="00B53C44">
        <w:rPr>
          <w:rFonts w:ascii="Times New Roman" w:hAnsi="Times New Roman" w:cs="Times New Roman"/>
          <w:szCs w:val="21"/>
        </w:rPr>
        <w:t>%</w:t>
      </w:r>
      <w:r w:rsidR="00B72D51" w:rsidRPr="00B53C44">
        <w:rPr>
          <w:rFonts w:ascii="Times New Roman" w:hAnsi="Times New Roman" w:cs="Times New Roman"/>
          <w:szCs w:val="21"/>
        </w:rPr>
        <w:t>）</w:t>
      </w:r>
      <w:r w:rsidR="006D01B5" w:rsidRPr="00B53C44">
        <w:rPr>
          <w:rFonts w:ascii="Times New Roman" w:hAnsi="Times New Roman" w:cs="Times New Roman"/>
          <w:szCs w:val="21"/>
        </w:rPr>
        <w:t>，</w:t>
      </w:r>
      <w:r w:rsidR="00CC558D">
        <w:rPr>
          <w:rFonts w:ascii="Times New Roman" w:hAnsi="Times New Roman" w:cs="Times New Roman" w:hint="eastAsia"/>
          <w:szCs w:val="21"/>
        </w:rPr>
        <w:t>2</w:t>
      </w:r>
      <w:r w:rsidR="00327164">
        <w:rPr>
          <w:rFonts w:ascii="Times New Roman" w:hAnsi="Times New Roman" w:cs="Times New Roman" w:hint="eastAsia"/>
          <w:szCs w:val="21"/>
        </w:rPr>
        <w:t>6</w:t>
      </w:r>
      <w:r w:rsidR="007F4388" w:rsidRPr="00B53C44">
        <w:rPr>
          <w:rFonts w:ascii="Times New Roman" w:hAnsi="Times New Roman" w:cs="Times New Roman"/>
          <w:szCs w:val="21"/>
        </w:rPr>
        <w:t>家</w:t>
      </w:r>
      <w:proofErr w:type="gramStart"/>
      <w:r w:rsidR="007F4388" w:rsidRPr="00B53C44">
        <w:rPr>
          <w:rFonts w:ascii="Times New Roman" w:hAnsi="Times New Roman" w:cs="Times New Roman"/>
          <w:szCs w:val="21"/>
        </w:rPr>
        <w:t>开展</w:t>
      </w:r>
      <w:r w:rsidR="006D01B5" w:rsidRPr="00B53C44">
        <w:rPr>
          <w:rFonts w:ascii="Times New Roman" w:hAnsi="Times New Roman" w:cs="Times New Roman"/>
          <w:szCs w:val="21"/>
        </w:rPr>
        <w:t>快消业务</w:t>
      </w:r>
      <w:proofErr w:type="gramEnd"/>
      <w:r w:rsidR="00B72D51" w:rsidRPr="00B53C44">
        <w:rPr>
          <w:rFonts w:ascii="Times New Roman" w:hAnsi="Times New Roman" w:cs="Times New Roman"/>
          <w:szCs w:val="21"/>
        </w:rPr>
        <w:t>（</w:t>
      </w:r>
      <w:r w:rsidR="00327164">
        <w:rPr>
          <w:rFonts w:ascii="Times New Roman" w:hAnsi="Times New Roman" w:cs="Times New Roman" w:hint="eastAsia"/>
          <w:szCs w:val="21"/>
        </w:rPr>
        <w:t>74</w:t>
      </w:r>
      <w:r w:rsidR="00B72D51" w:rsidRPr="00B53C44">
        <w:rPr>
          <w:rFonts w:ascii="Times New Roman" w:hAnsi="Times New Roman" w:cs="Times New Roman"/>
          <w:szCs w:val="21"/>
        </w:rPr>
        <w:t>%</w:t>
      </w:r>
      <w:r w:rsidR="00B72D51" w:rsidRPr="00B53C44">
        <w:rPr>
          <w:rFonts w:ascii="Times New Roman" w:hAnsi="Times New Roman" w:cs="Times New Roman"/>
          <w:szCs w:val="21"/>
        </w:rPr>
        <w:t>）</w:t>
      </w:r>
      <w:r w:rsidR="006D01B5" w:rsidRPr="00B53C44">
        <w:rPr>
          <w:rFonts w:ascii="Times New Roman" w:hAnsi="Times New Roman" w:cs="Times New Roman"/>
          <w:szCs w:val="21"/>
        </w:rPr>
        <w:t>，</w:t>
      </w:r>
      <w:r w:rsidR="00CC558D">
        <w:rPr>
          <w:rFonts w:ascii="Times New Roman" w:hAnsi="Times New Roman" w:cs="Times New Roman" w:hint="eastAsia"/>
          <w:szCs w:val="21"/>
        </w:rPr>
        <w:t>1</w:t>
      </w:r>
      <w:r w:rsidR="00327164">
        <w:rPr>
          <w:rFonts w:ascii="Times New Roman" w:hAnsi="Times New Roman" w:cs="Times New Roman" w:hint="eastAsia"/>
          <w:szCs w:val="21"/>
        </w:rPr>
        <w:t>6</w:t>
      </w:r>
      <w:r w:rsidR="00CC558D">
        <w:rPr>
          <w:rFonts w:ascii="Times New Roman" w:hAnsi="Times New Roman" w:cs="Times New Roman" w:hint="eastAsia"/>
          <w:szCs w:val="21"/>
        </w:rPr>
        <w:t>家开展通讯业务（</w:t>
      </w:r>
      <w:r w:rsidR="00327164">
        <w:rPr>
          <w:rFonts w:ascii="Times New Roman" w:hAnsi="Times New Roman" w:cs="Times New Roman" w:hint="eastAsia"/>
          <w:szCs w:val="21"/>
        </w:rPr>
        <w:t>46%</w:t>
      </w:r>
      <w:r w:rsidR="00327164">
        <w:rPr>
          <w:rFonts w:ascii="Times New Roman" w:hAnsi="Times New Roman" w:cs="Times New Roman" w:hint="eastAsia"/>
          <w:szCs w:val="21"/>
        </w:rPr>
        <w:t>），</w:t>
      </w:r>
      <w:r w:rsidR="00327164">
        <w:rPr>
          <w:rFonts w:ascii="Times New Roman" w:hAnsi="Times New Roman" w:cs="Times New Roman" w:hint="eastAsia"/>
          <w:szCs w:val="21"/>
        </w:rPr>
        <w:t>15</w:t>
      </w:r>
      <w:r w:rsidR="00327164">
        <w:rPr>
          <w:rFonts w:ascii="Times New Roman" w:hAnsi="Times New Roman" w:cs="Times New Roman" w:hint="eastAsia"/>
          <w:szCs w:val="21"/>
        </w:rPr>
        <w:t>家开展互联网业务（</w:t>
      </w:r>
      <w:r w:rsidR="00327164">
        <w:rPr>
          <w:rFonts w:ascii="Times New Roman" w:hAnsi="Times New Roman" w:cs="Times New Roman" w:hint="eastAsia"/>
          <w:szCs w:val="21"/>
        </w:rPr>
        <w:t>43%</w:t>
      </w:r>
      <w:r w:rsidR="00327164">
        <w:rPr>
          <w:rFonts w:ascii="Times New Roman" w:hAnsi="Times New Roman" w:cs="Times New Roman" w:hint="eastAsia"/>
          <w:szCs w:val="21"/>
        </w:rPr>
        <w:t>），</w:t>
      </w:r>
      <w:r w:rsidR="00327164">
        <w:rPr>
          <w:rFonts w:ascii="Times New Roman" w:hAnsi="Times New Roman" w:cs="Times New Roman" w:hint="eastAsia"/>
          <w:szCs w:val="21"/>
        </w:rPr>
        <w:t>13</w:t>
      </w:r>
      <w:r w:rsidR="00327164">
        <w:rPr>
          <w:rFonts w:ascii="Times New Roman" w:hAnsi="Times New Roman" w:cs="Times New Roman" w:hint="eastAsia"/>
          <w:szCs w:val="21"/>
        </w:rPr>
        <w:t>家开展制造业业务（</w:t>
      </w:r>
      <w:r w:rsidR="00327164">
        <w:rPr>
          <w:rFonts w:ascii="Times New Roman" w:hAnsi="Times New Roman" w:cs="Times New Roman" w:hint="eastAsia"/>
          <w:szCs w:val="21"/>
        </w:rPr>
        <w:t>37%</w:t>
      </w:r>
      <w:r w:rsidR="00327164">
        <w:rPr>
          <w:rFonts w:ascii="Times New Roman" w:hAnsi="Times New Roman" w:cs="Times New Roman" w:hint="eastAsia"/>
          <w:szCs w:val="21"/>
        </w:rPr>
        <w:t>），</w:t>
      </w:r>
      <w:r w:rsidR="00327164">
        <w:rPr>
          <w:rFonts w:ascii="Times New Roman" w:hAnsi="Times New Roman" w:cs="Times New Roman" w:hint="eastAsia"/>
          <w:szCs w:val="21"/>
        </w:rPr>
        <w:t>7</w:t>
      </w:r>
      <w:r w:rsidR="00327164">
        <w:rPr>
          <w:rFonts w:ascii="Times New Roman" w:hAnsi="Times New Roman" w:cs="Times New Roman" w:hint="eastAsia"/>
          <w:szCs w:val="21"/>
        </w:rPr>
        <w:t>家开展房地产业</w:t>
      </w:r>
      <w:proofErr w:type="gramStart"/>
      <w:r w:rsidR="00327164">
        <w:rPr>
          <w:rFonts w:ascii="Times New Roman" w:hAnsi="Times New Roman" w:cs="Times New Roman" w:hint="eastAsia"/>
          <w:szCs w:val="21"/>
        </w:rPr>
        <w:t>务</w:t>
      </w:r>
      <w:proofErr w:type="gramEnd"/>
      <w:r w:rsidR="00327164">
        <w:rPr>
          <w:rFonts w:ascii="Times New Roman" w:hAnsi="Times New Roman" w:cs="Times New Roman" w:hint="eastAsia"/>
          <w:szCs w:val="21"/>
        </w:rPr>
        <w:t>（</w:t>
      </w:r>
      <w:r w:rsidR="00327164">
        <w:rPr>
          <w:rFonts w:ascii="Times New Roman" w:hAnsi="Times New Roman" w:cs="Times New Roman" w:hint="eastAsia"/>
          <w:szCs w:val="21"/>
        </w:rPr>
        <w:t>20%</w:t>
      </w:r>
      <w:r w:rsidR="00327164">
        <w:rPr>
          <w:rFonts w:ascii="Times New Roman" w:hAnsi="Times New Roman" w:cs="Times New Roman" w:hint="eastAsia"/>
          <w:szCs w:val="21"/>
        </w:rPr>
        <w:t>），</w:t>
      </w:r>
      <w:r w:rsidR="0039512F">
        <w:rPr>
          <w:rFonts w:ascii="Times New Roman" w:hAnsi="Times New Roman" w:cs="Times New Roman" w:hint="eastAsia"/>
          <w:szCs w:val="21"/>
        </w:rPr>
        <w:t>11</w:t>
      </w:r>
      <w:r w:rsidR="0039512F">
        <w:rPr>
          <w:rFonts w:ascii="Times New Roman" w:hAnsi="Times New Roman" w:cs="Times New Roman" w:hint="eastAsia"/>
          <w:szCs w:val="21"/>
        </w:rPr>
        <w:t>家开展</w:t>
      </w:r>
      <w:r w:rsidR="0039512F">
        <w:rPr>
          <w:rFonts w:ascii="Times New Roman" w:hAnsi="Times New Roman" w:cs="Times New Roman" w:hint="eastAsia"/>
          <w:szCs w:val="21"/>
        </w:rPr>
        <w:t>IT</w:t>
      </w:r>
      <w:r w:rsidR="0039512F">
        <w:rPr>
          <w:rFonts w:ascii="Times New Roman" w:hAnsi="Times New Roman" w:cs="Times New Roman" w:hint="eastAsia"/>
          <w:szCs w:val="21"/>
        </w:rPr>
        <w:t>业务（</w:t>
      </w:r>
      <w:r w:rsidR="0039512F">
        <w:rPr>
          <w:rFonts w:ascii="Times New Roman" w:hAnsi="Times New Roman" w:cs="Times New Roman" w:hint="eastAsia"/>
          <w:szCs w:val="21"/>
        </w:rPr>
        <w:t>31%</w:t>
      </w:r>
      <w:r w:rsidR="0039512F">
        <w:rPr>
          <w:rFonts w:ascii="Times New Roman" w:hAnsi="Times New Roman" w:cs="Times New Roman" w:hint="eastAsia"/>
          <w:szCs w:val="21"/>
        </w:rPr>
        <w:t>），</w:t>
      </w:r>
      <w:r w:rsidR="0039512F">
        <w:rPr>
          <w:rFonts w:ascii="Times New Roman" w:hAnsi="Times New Roman" w:cs="Times New Roman" w:hint="eastAsia"/>
          <w:szCs w:val="21"/>
        </w:rPr>
        <w:t>5</w:t>
      </w:r>
      <w:r w:rsidR="0039512F">
        <w:rPr>
          <w:rFonts w:ascii="Times New Roman" w:hAnsi="Times New Roman" w:cs="Times New Roman" w:hint="eastAsia"/>
          <w:szCs w:val="21"/>
        </w:rPr>
        <w:t>家开展奢侈品业务（</w:t>
      </w:r>
      <w:r w:rsidR="0039512F">
        <w:rPr>
          <w:rFonts w:ascii="Times New Roman" w:hAnsi="Times New Roman" w:cs="Times New Roman" w:hint="eastAsia"/>
          <w:szCs w:val="21"/>
        </w:rPr>
        <w:t>14%</w:t>
      </w:r>
      <w:r w:rsidR="0039512F">
        <w:rPr>
          <w:rFonts w:ascii="Times New Roman" w:hAnsi="Times New Roman" w:cs="Times New Roman" w:hint="eastAsia"/>
          <w:szCs w:val="21"/>
        </w:rPr>
        <w:t>），</w:t>
      </w:r>
      <w:r w:rsidR="00193020">
        <w:rPr>
          <w:rFonts w:ascii="Times New Roman" w:hAnsi="Times New Roman" w:cs="Times New Roman" w:hint="eastAsia"/>
          <w:szCs w:val="21"/>
        </w:rPr>
        <w:t>2</w:t>
      </w:r>
      <w:r w:rsidR="0039512F">
        <w:rPr>
          <w:rFonts w:ascii="Times New Roman" w:hAnsi="Times New Roman" w:cs="Times New Roman" w:hint="eastAsia"/>
          <w:szCs w:val="21"/>
        </w:rPr>
        <w:t>家开展文化业务（</w:t>
      </w:r>
      <w:r w:rsidR="00193020">
        <w:rPr>
          <w:rFonts w:ascii="Times New Roman" w:hAnsi="Times New Roman" w:cs="Times New Roman" w:hint="eastAsia"/>
          <w:szCs w:val="21"/>
        </w:rPr>
        <w:t>6</w:t>
      </w:r>
      <w:r w:rsidR="0039512F">
        <w:rPr>
          <w:rFonts w:ascii="Times New Roman" w:hAnsi="Times New Roman" w:cs="Times New Roman" w:hint="eastAsia"/>
          <w:szCs w:val="21"/>
        </w:rPr>
        <w:t>%</w:t>
      </w:r>
      <w:r w:rsidR="0039512F">
        <w:rPr>
          <w:rFonts w:ascii="Times New Roman" w:hAnsi="Times New Roman" w:cs="Times New Roman" w:hint="eastAsia"/>
          <w:szCs w:val="21"/>
        </w:rPr>
        <w:t>）。</w:t>
      </w:r>
    </w:p>
    <w:p w:rsidR="00B72D51" w:rsidRDefault="006E29CB" w:rsidP="0069230B">
      <w:pPr>
        <w:spacing w:beforeLines="50" w:afterLines="50"/>
        <w:ind w:firstLine="420"/>
        <w:rPr>
          <w:rFonts w:ascii="Times New Roman" w:hAnsi="Times New Roman" w:cs="Times New Roman"/>
          <w:szCs w:val="21"/>
        </w:rPr>
      </w:pPr>
      <w:r w:rsidRPr="00F87815">
        <w:rPr>
          <w:rFonts w:ascii="Times New Roman" w:hAnsi="Times New Roman" w:cs="Times New Roman"/>
          <w:szCs w:val="21"/>
        </w:rPr>
        <w:t>35</w:t>
      </w:r>
      <w:r w:rsidRPr="00F87815">
        <w:rPr>
          <w:rFonts w:ascii="Times New Roman" w:hAnsi="Times New Roman" w:cs="Times New Roman"/>
          <w:szCs w:val="21"/>
        </w:rPr>
        <w:t>家公司中，</w:t>
      </w:r>
      <w:r w:rsidR="00BF548E">
        <w:rPr>
          <w:rFonts w:ascii="Times New Roman" w:hAnsi="Times New Roman" w:cs="Times New Roman" w:hint="eastAsia"/>
          <w:szCs w:val="21"/>
        </w:rPr>
        <w:t>4</w:t>
      </w:r>
      <w:r w:rsidR="00C6025C">
        <w:rPr>
          <w:rFonts w:ascii="Times New Roman" w:hAnsi="Times New Roman" w:cs="Times New Roman" w:hint="eastAsia"/>
          <w:szCs w:val="21"/>
        </w:rPr>
        <w:t>家以顾问咨询为主（</w:t>
      </w:r>
      <w:r w:rsidR="00BF548E">
        <w:rPr>
          <w:rFonts w:ascii="Times New Roman" w:hAnsi="Times New Roman" w:cs="Times New Roman" w:hint="eastAsia"/>
          <w:szCs w:val="21"/>
        </w:rPr>
        <w:t>11</w:t>
      </w:r>
      <w:r w:rsidR="00C6025C">
        <w:rPr>
          <w:rFonts w:ascii="Times New Roman" w:hAnsi="Times New Roman" w:cs="Times New Roman" w:hint="eastAsia"/>
          <w:szCs w:val="21"/>
        </w:rPr>
        <w:t>%</w:t>
      </w:r>
      <w:r w:rsidR="00C6025C">
        <w:rPr>
          <w:rFonts w:ascii="Times New Roman" w:hAnsi="Times New Roman" w:cs="Times New Roman" w:hint="eastAsia"/>
          <w:szCs w:val="21"/>
        </w:rPr>
        <w:t>），</w:t>
      </w:r>
      <w:r w:rsidR="00C6025C">
        <w:rPr>
          <w:rFonts w:ascii="Times New Roman" w:hAnsi="Times New Roman" w:cs="Times New Roman" w:hint="eastAsia"/>
          <w:szCs w:val="21"/>
        </w:rPr>
        <w:t>1</w:t>
      </w:r>
      <w:r w:rsidR="00BF548E">
        <w:rPr>
          <w:rFonts w:ascii="Times New Roman" w:hAnsi="Times New Roman" w:cs="Times New Roman" w:hint="eastAsia"/>
          <w:szCs w:val="21"/>
        </w:rPr>
        <w:t>1</w:t>
      </w:r>
      <w:r w:rsidR="00C6025C">
        <w:rPr>
          <w:rFonts w:ascii="Times New Roman" w:hAnsi="Times New Roman" w:cs="Times New Roman" w:hint="eastAsia"/>
          <w:szCs w:val="21"/>
        </w:rPr>
        <w:t>家以传播代理和媒体执行为主（</w:t>
      </w:r>
      <w:r w:rsidR="00C6025C">
        <w:rPr>
          <w:rFonts w:ascii="Times New Roman" w:hAnsi="Times New Roman" w:cs="Times New Roman" w:hint="eastAsia"/>
          <w:szCs w:val="21"/>
        </w:rPr>
        <w:t>3</w:t>
      </w:r>
      <w:r w:rsidR="00BF548E">
        <w:rPr>
          <w:rFonts w:ascii="Times New Roman" w:hAnsi="Times New Roman" w:cs="Times New Roman" w:hint="eastAsia"/>
          <w:szCs w:val="21"/>
        </w:rPr>
        <w:t>1</w:t>
      </w:r>
      <w:r w:rsidR="00C6025C">
        <w:rPr>
          <w:rFonts w:ascii="Times New Roman" w:hAnsi="Times New Roman" w:cs="Times New Roman" w:hint="eastAsia"/>
          <w:szCs w:val="21"/>
        </w:rPr>
        <w:t>%</w:t>
      </w:r>
      <w:r w:rsidR="00C6025C">
        <w:rPr>
          <w:rFonts w:ascii="Times New Roman" w:hAnsi="Times New Roman" w:cs="Times New Roman" w:hint="eastAsia"/>
          <w:szCs w:val="21"/>
        </w:rPr>
        <w:t>），</w:t>
      </w:r>
      <w:r w:rsidR="00BF548E">
        <w:rPr>
          <w:rFonts w:ascii="Times New Roman" w:hAnsi="Times New Roman" w:cs="Times New Roman" w:hint="eastAsia"/>
          <w:szCs w:val="21"/>
        </w:rPr>
        <w:t>8</w:t>
      </w:r>
      <w:r w:rsidR="00C6025C">
        <w:rPr>
          <w:rFonts w:ascii="Times New Roman" w:hAnsi="Times New Roman" w:cs="Times New Roman" w:hint="eastAsia"/>
          <w:szCs w:val="21"/>
        </w:rPr>
        <w:t>家以活动代理为主（</w:t>
      </w:r>
      <w:r w:rsidR="00C6025C">
        <w:rPr>
          <w:rFonts w:ascii="Times New Roman" w:hAnsi="Times New Roman" w:cs="Times New Roman" w:hint="eastAsia"/>
          <w:szCs w:val="21"/>
        </w:rPr>
        <w:t>2</w:t>
      </w:r>
      <w:r w:rsidR="00BF548E">
        <w:rPr>
          <w:rFonts w:ascii="Times New Roman" w:hAnsi="Times New Roman" w:cs="Times New Roman" w:hint="eastAsia"/>
          <w:szCs w:val="21"/>
        </w:rPr>
        <w:t>3</w:t>
      </w:r>
      <w:r w:rsidR="00C6025C">
        <w:rPr>
          <w:rFonts w:ascii="Times New Roman" w:hAnsi="Times New Roman" w:cs="Times New Roman" w:hint="eastAsia"/>
          <w:szCs w:val="21"/>
        </w:rPr>
        <w:t>%</w:t>
      </w:r>
      <w:r w:rsidR="00C6025C">
        <w:rPr>
          <w:rFonts w:ascii="Times New Roman" w:hAnsi="Times New Roman" w:cs="Times New Roman" w:hint="eastAsia"/>
          <w:szCs w:val="21"/>
        </w:rPr>
        <w:t>），</w:t>
      </w:r>
      <w:r w:rsidR="00C6025C">
        <w:rPr>
          <w:rFonts w:ascii="Times New Roman" w:hAnsi="Times New Roman" w:cs="Times New Roman" w:hint="eastAsia"/>
          <w:szCs w:val="21"/>
        </w:rPr>
        <w:t>1</w:t>
      </w:r>
      <w:r w:rsidR="00BF548E">
        <w:rPr>
          <w:rFonts w:ascii="Times New Roman" w:hAnsi="Times New Roman" w:cs="Times New Roman" w:hint="eastAsia"/>
          <w:szCs w:val="21"/>
        </w:rPr>
        <w:t>0</w:t>
      </w:r>
      <w:r w:rsidR="00C6025C">
        <w:rPr>
          <w:rFonts w:ascii="Times New Roman" w:hAnsi="Times New Roman" w:cs="Times New Roman" w:hint="eastAsia"/>
          <w:szCs w:val="21"/>
        </w:rPr>
        <w:t>家以网络公关为主（</w:t>
      </w:r>
      <w:r w:rsidR="00BF548E">
        <w:rPr>
          <w:rFonts w:ascii="Times New Roman" w:hAnsi="Times New Roman" w:cs="Times New Roman" w:hint="eastAsia"/>
          <w:szCs w:val="21"/>
        </w:rPr>
        <w:t>29</w:t>
      </w:r>
      <w:r w:rsidR="00C6025C">
        <w:rPr>
          <w:rFonts w:ascii="Times New Roman" w:hAnsi="Times New Roman" w:cs="Times New Roman" w:hint="eastAsia"/>
          <w:szCs w:val="21"/>
        </w:rPr>
        <w:t>%</w:t>
      </w:r>
      <w:r w:rsidR="00C6025C">
        <w:rPr>
          <w:rFonts w:ascii="Times New Roman" w:hAnsi="Times New Roman" w:cs="Times New Roman" w:hint="eastAsia"/>
          <w:szCs w:val="21"/>
        </w:rPr>
        <w:t>）。</w:t>
      </w:r>
      <w:r w:rsidR="00047E60">
        <w:rPr>
          <w:rFonts w:ascii="Times New Roman" w:hAnsi="Times New Roman" w:cs="Times New Roman" w:hint="eastAsia"/>
          <w:szCs w:val="21"/>
        </w:rPr>
        <w:t>网络公关、传播代理及媒体执行为行业内主营业务</w:t>
      </w:r>
      <w:r w:rsidR="00BF548E">
        <w:rPr>
          <w:rFonts w:ascii="Times New Roman" w:hAnsi="Times New Roman" w:cs="Times New Roman" w:hint="eastAsia"/>
          <w:szCs w:val="21"/>
        </w:rPr>
        <w:t>，这表明随着新媒体时代的不断发展，新兴公关业务需求也在不断增加。</w:t>
      </w:r>
    </w:p>
    <w:p w:rsidR="00804A89" w:rsidRPr="00B72D51" w:rsidRDefault="009B3A16" w:rsidP="00D85FC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274310" cy="2133600"/>
            <wp:effectExtent l="19050" t="0" r="2159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757D" w:rsidRDefault="001D757D" w:rsidP="0069230B">
      <w:pPr>
        <w:spacing w:beforeLines="50" w:afterLines="50"/>
        <w:ind w:firstLine="420"/>
        <w:rPr>
          <w:rFonts w:ascii="Times New Roman" w:hAnsi="宋体" w:cs="Times New Roman"/>
        </w:rPr>
      </w:pPr>
      <w:r w:rsidRPr="00476CA7">
        <w:rPr>
          <w:rFonts w:ascii="Times New Roman" w:hAnsi="Times New Roman" w:cs="Times New Roman"/>
          <w:color w:val="000000"/>
        </w:rPr>
        <w:t>35</w:t>
      </w:r>
      <w:r w:rsidRPr="00476CA7">
        <w:rPr>
          <w:rFonts w:ascii="Times New Roman" w:hAnsi="宋体" w:cs="Times New Roman"/>
          <w:color w:val="000000"/>
        </w:rPr>
        <w:t>家公司在新的服务手段应用进展方面</w:t>
      </w:r>
      <w:r w:rsidRPr="00476CA7">
        <w:rPr>
          <w:rFonts w:ascii="Times New Roman" w:hAnsi="宋体" w:cs="Times New Roman"/>
        </w:rPr>
        <w:t>，</w:t>
      </w:r>
      <w:r w:rsidRPr="00476CA7">
        <w:rPr>
          <w:rFonts w:ascii="Times New Roman" w:hAnsi="Times New Roman" w:cs="Times New Roman"/>
        </w:rPr>
        <w:t xml:space="preserve"> </w:t>
      </w:r>
      <w:r w:rsidR="00D25F3F" w:rsidRPr="00476CA7">
        <w:rPr>
          <w:rFonts w:ascii="Times New Roman" w:hAnsi="Times New Roman" w:cs="Times New Roman" w:hint="eastAsia"/>
        </w:rPr>
        <w:t>21</w:t>
      </w:r>
      <w:r w:rsidR="00D25F3F" w:rsidRPr="00476CA7">
        <w:rPr>
          <w:rFonts w:ascii="Times New Roman" w:hAnsi="宋体" w:cs="Times New Roman"/>
        </w:rPr>
        <w:t>家（</w:t>
      </w:r>
      <w:r w:rsidR="00D25F3F" w:rsidRPr="00476CA7">
        <w:rPr>
          <w:rFonts w:ascii="Times New Roman" w:hAnsi="宋体" w:cs="Times New Roman" w:hint="eastAsia"/>
        </w:rPr>
        <w:t>60%</w:t>
      </w:r>
      <w:r w:rsidR="00D25F3F" w:rsidRPr="00476CA7">
        <w:rPr>
          <w:rFonts w:ascii="Times New Roman" w:hAnsi="宋体" w:cs="Times New Roman"/>
        </w:rPr>
        <w:t>）开展事件营销业务，</w:t>
      </w:r>
      <w:r w:rsidR="00952537">
        <w:rPr>
          <w:rFonts w:ascii="Times New Roman" w:hAnsi="宋体" w:cs="Times New Roman" w:hint="eastAsia"/>
        </w:rPr>
        <w:t>14</w:t>
      </w:r>
      <w:r w:rsidR="003A71F9">
        <w:rPr>
          <w:rFonts w:ascii="Times New Roman" w:hAnsi="宋体" w:cs="Times New Roman" w:hint="eastAsia"/>
        </w:rPr>
        <w:t>家（</w:t>
      </w:r>
      <w:r w:rsidR="00952537">
        <w:rPr>
          <w:rFonts w:ascii="Times New Roman" w:hAnsi="宋体" w:cs="Times New Roman" w:hint="eastAsia"/>
        </w:rPr>
        <w:t>40</w:t>
      </w:r>
      <w:r w:rsidR="003A71F9">
        <w:rPr>
          <w:rFonts w:ascii="Times New Roman" w:hAnsi="宋体" w:cs="Times New Roman" w:hint="eastAsia"/>
        </w:rPr>
        <w:t>%</w:t>
      </w:r>
      <w:r w:rsidR="003A71F9">
        <w:rPr>
          <w:rFonts w:ascii="Times New Roman" w:hAnsi="宋体" w:cs="Times New Roman" w:hint="eastAsia"/>
        </w:rPr>
        <w:t>）</w:t>
      </w:r>
      <w:r w:rsidR="003A71F9" w:rsidRPr="003A71F9">
        <w:rPr>
          <w:rFonts w:ascii="Times New Roman" w:hAnsi="宋体" w:cs="Times New Roman"/>
        </w:rPr>
        <w:t>开展娱乐营销业务</w:t>
      </w:r>
      <w:r w:rsidR="00952537">
        <w:rPr>
          <w:rFonts w:ascii="Times New Roman" w:hAnsi="宋体" w:cs="Times New Roman" w:hint="eastAsia"/>
        </w:rPr>
        <w:t>，</w:t>
      </w:r>
      <w:r w:rsidR="00863E62">
        <w:rPr>
          <w:rFonts w:ascii="Times New Roman" w:hAnsi="宋体" w:cs="Times New Roman" w:hint="eastAsia"/>
        </w:rPr>
        <w:t>6</w:t>
      </w:r>
      <w:r w:rsidR="003A71F9" w:rsidRPr="003A71F9">
        <w:rPr>
          <w:rFonts w:ascii="Times New Roman" w:hAnsi="宋体" w:cs="Times New Roman"/>
        </w:rPr>
        <w:t>家（</w:t>
      </w:r>
      <w:r w:rsidR="00952537">
        <w:rPr>
          <w:rFonts w:ascii="Times New Roman" w:hAnsi="宋体" w:cs="Times New Roman" w:hint="eastAsia"/>
        </w:rPr>
        <w:t>1</w:t>
      </w:r>
      <w:r w:rsidR="00863E62">
        <w:rPr>
          <w:rFonts w:ascii="Times New Roman" w:hAnsi="宋体" w:cs="Times New Roman" w:hint="eastAsia"/>
        </w:rPr>
        <w:t>7</w:t>
      </w:r>
      <w:r w:rsidR="003A71F9" w:rsidRPr="003A71F9">
        <w:rPr>
          <w:rFonts w:ascii="Times New Roman" w:hAnsi="宋体" w:cs="Times New Roman" w:hint="eastAsia"/>
        </w:rPr>
        <w:t>%</w:t>
      </w:r>
      <w:r w:rsidR="003A71F9" w:rsidRPr="003A71F9">
        <w:rPr>
          <w:rFonts w:ascii="Times New Roman" w:hAnsi="宋体" w:cs="Times New Roman"/>
        </w:rPr>
        <w:t>）开展体育营销业务，</w:t>
      </w:r>
      <w:r w:rsidR="00952537">
        <w:rPr>
          <w:rFonts w:ascii="Times New Roman" w:hAnsi="Times New Roman" w:cs="Times New Roman" w:hint="eastAsia"/>
        </w:rPr>
        <w:t>23</w:t>
      </w:r>
      <w:r w:rsidR="003A71F9" w:rsidRPr="00476CA7">
        <w:rPr>
          <w:rFonts w:ascii="Times New Roman" w:hAnsi="宋体" w:cs="Times New Roman"/>
        </w:rPr>
        <w:t>家（</w:t>
      </w:r>
      <w:r w:rsidR="003A71F9" w:rsidRPr="00476CA7">
        <w:rPr>
          <w:rFonts w:ascii="Times New Roman" w:hAnsi="宋体" w:cs="Times New Roman" w:hint="eastAsia"/>
        </w:rPr>
        <w:t>6</w:t>
      </w:r>
      <w:r w:rsidR="00952537">
        <w:rPr>
          <w:rFonts w:ascii="Times New Roman" w:hAnsi="宋体" w:cs="Times New Roman" w:hint="eastAsia"/>
        </w:rPr>
        <w:t>6</w:t>
      </w:r>
      <w:r w:rsidR="003A71F9" w:rsidRPr="00476CA7">
        <w:rPr>
          <w:rFonts w:ascii="Times New Roman" w:hAnsi="宋体" w:cs="Times New Roman" w:hint="eastAsia"/>
        </w:rPr>
        <w:t>%</w:t>
      </w:r>
      <w:r w:rsidR="003A71F9" w:rsidRPr="00476CA7">
        <w:rPr>
          <w:rFonts w:ascii="Times New Roman" w:hAnsi="宋体" w:cs="Times New Roman"/>
        </w:rPr>
        <w:t>）开展网络公关业务，</w:t>
      </w:r>
      <w:r w:rsidR="00952537">
        <w:rPr>
          <w:rFonts w:ascii="Times New Roman" w:hAnsi="Times New Roman" w:cs="Times New Roman" w:hint="eastAsia"/>
        </w:rPr>
        <w:t>6</w:t>
      </w:r>
      <w:r w:rsidR="003A71F9" w:rsidRPr="003A71F9">
        <w:rPr>
          <w:rFonts w:ascii="Times New Roman" w:hAnsi="宋体" w:cs="Times New Roman"/>
        </w:rPr>
        <w:t>家（</w:t>
      </w:r>
      <w:r w:rsidR="00952537">
        <w:rPr>
          <w:rFonts w:ascii="Times New Roman" w:hAnsi="宋体" w:cs="Times New Roman" w:hint="eastAsia"/>
        </w:rPr>
        <w:t>17</w:t>
      </w:r>
      <w:r w:rsidR="003A71F9" w:rsidRPr="003A71F9">
        <w:rPr>
          <w:rFonts w:ascii="Times New Roman" w:hAnsi="宋体" w:cs="Times New Roman" w:hint="eastAsia"/>
        </w:rPr>
        <w:t>%</w:t>
      </w:r>
      <w:r w:rsidR="003A71F9" w:rsidRPr="003A71F9">
        <w:rPr>
          <w:rFonts w:ascii="Times New Roman" w:hAnsi="宋体" w:cs="Times New Roman"/>
        </w:rPr>
        <w:t>）开展危机管理</w:t>
      </w:r>
      <w:r w:rsidR="003A71F9" w:rsidRPr="003A71F9">
        <w:rPr>
          <w:rFonts w:ascii="Times New Roman" w:hAnsi="宋体" w:cs="Times New Roman" w:hint="eastAsia"/>
        </w:rPr>
        <w:t>业务，</w:t>
      </w:r>
      <w:r w:rsidR="00952537">
        <w:rPr>
          <w:rFonts w:ascii="Times New Roman" w:hAnsi="Times New Roman" w:cs="Times New Roman" w:hint="eastAsia"/>
        </w:rPr>
        <w:t>6</w:t>
      </w:r>
      <w:r w:rsidR="003A71F9" w:rsidRPr="003A71F9">
        <w:rPr>
          <w:rFonts w:ascii="Times New Roman" w:hAnsi="宋体" w:cs="Times New Roman"/>
        </w:rPr>
        <w:t>家（</w:t>
      </w:r>
      <w:r w:rsidR="00952537">
        <w:rPr>
          <w:rFonts w:ascii="Times New Roman" w:hAnsi="宋体" w:cs="Times New Roman" w:hint="eastAsia"/>
        </w:rPr>
        <w:t>17</w:t>
      </w:r>
      <w:r w:rsidR="003A71F9" w:rsidRPr="003A71F9">
        <w:rPr>
          <w:rFonts w:ascii="Times New Roman" w:hAnsi="宋体" w:cs="Times New Roman" w:hint="eastAsia"/>
        </w:rPr>
        <w:t>%</w:t>
      </w:r>
      <w:r w:rsidR="003A71F9" w:rsidRPr="003A71F9">
        <w:rPr>
          <w:rFonts w:ascii="Times New Roman" w:hAnsi="宋体" w:cs="Times New Roman"/>
        </w:rPr>
        <w:t>）开展议题管理，</w:t>
      </w:r>
      <w:r w:rsidR="00952537">
        <w:rPr>
          <w:rFonts w:ascii="Times New Roman" w:hAnsi="宋体" w:cs="Times New Roman" w:hint="eastAsia"/>
        </w:rPr>
        <w:t>5</w:t>
      </w:r>
      <w:r w:rsidR="001A20FF" w:rsidRPr="003A71F9">
        <w:rPr>
          <w:rFonts w:ascii="Times New Roman" w:hAnsi="宋体" w:cs="Times New Roman"/>
        </w:rPr>
        <w:t>家（</w:t>
      </w:r>
      <w:r w:rsidR="00952537">
        <w:rPr>
          <w:rFonts w:ascii="Times New Roman" w:hAnsi="宋体" w:cs="Times New Roman" w:hint="eastAsia"/>
        </w:rPr>
        <w:t>14</w:t>
      </w:r>
      <w:r w:rsidR="008115D4" w:rsidRPr="003A71F9">
        <w:rPr>
          <w:rFonts w:ascii="Times New Roman" w:hAnsi="宋体" w:cs="Times New Roman" w:hint="eastAsia"/>
        </w:rPr>
        <w:t>%</w:t>
      </w:r>
      <w:r w:rsidR="001A20FF" w:rsidRPr="003A71F9">
        <w:rPr>
          <w:rFonts w:ascii="Times New Roman" w:hAnsi="宋体" w:cs="Times New Roman"/>
        </w:rPr>
        <w:t>）开展政府关系业务，</w:t>
      </w:r>
      <w:r w:rsidR="003A71F9" w:rsidRPr="003A71F9">
        <w:rPr>
          <w:rFonts w:ascii="Times New Roman" w:hAnsi="Times New Roman" w:cs="Times New Roman" w:hint="eastAsia"/>
        </w:rPr>
        <w:t xml:space="preserve"> </w:t>
      </w:r>
      <w:r w:rsidR="00952537">
        <w:rPr>
          <w:rFonts w:ascii="Times New Roman" w:hAnsi="Times New Roman" w:cs="Times New Roman" w:hint="eastAsia"/>
        </w:rPr>
        <w:t>2</w:t>
      </w:r>
      <w:r w:rsidR="00B12AA9" w:rsidRPr="003A71F9">
        <w:rPr>
          <w:rFonts w:ascii="Times New Roman" w:hAnsi="宋体" w:cs="Times New Roman"/>
        </w:rPr>
        <w:t>家（</w:t>
      </w:r>
      <w:r w:rsidR="00952537">
        <w:rPr>
          <w:rFonts w:ascii="Times New Roman" w:hAnsi="宋体" w:cs="Times New Roman" w:hint="eastAsia"/>
        </w:rPr>
        <w:t>6</w:t>
      </w:r>
      <w:r w:rsidR="00B12AA9" w:rsidRPr="003A71F9">
        <w:rPr>
          <w:rFonts w:ascii="Times New Roman" w:hAnsi="宋体" w:cs="Times New Roman" w:hint="eastAsia"/>
        </w:rPr>
        <w:t>%</w:t>
      </w:r>
      <w:r w:rsidR="00B12AA9" w:rsidRPr="003A71F9">
        <w:rPr>
          <w:rFonts w:ascii="Times New Roman" w:hAnsi="宋体" w:cs="Times New Roman"/>
        </w:rPr>
        <w:t>）开展</w:t>
      </w:r>
      <w:r w:rsidR="001A20FF" w:rsidRPr="003A71F9">
        <w:rPr>
          <w:rFonts w:ascii="Times New Roman" w:hAnsi="Times New Roman" w:cs="Times New Roman"/>
        </w:rPr>
        <w:t>CSR</w:t>
      </w:r>
      <w:r w:rsidR="001A20FF" w:rsidRPr="003A71F9">
        <w:rPr>
          <w:rFonts w:ascii="Times New Roman" w:hAnsi="宋体" w:cs="Times New Roman"/>
        </w:rPr>
        <w:t>项目，</w:t>
      </w:r>
      <w:r w:rsidR="00952537">
        <w:rPr>
          <w:rFonts w:ascii="Times New Roman" w:hAnsi="Times New Roman" w:cs="Times New Roman" w:hint="eastAsia"/>
        </w:rPr>
        <w:t>2</w:t>
      </w:r>
      <w:r w:rsidR="001A20FF" w:rsidRPr="003A71F9">
        <w:rPr>
          <w:rFonts w:ascii="Times New Roman" w:hAnsi="宋体" w:cs="Times New Roman"/>
        </w:rPr>
        <w:t>家（</w:t>
      </w:r>
      <w:r w:rsidR="00952537">
        <w:rPr>
          <w:rFonts w:ascii="Times New Roman" w:hAnsi="宋体" w:cs="Times New Roman" w:hint="eastAsia"/>
        </w:rPr>
        <w:t>6</w:t>
      </w:r>
      <w:r w:rsidR="008115D4" w:rsidRPr="003A71F9">
        <w:rPr>
          <w:rFonts w:ascii="Times New Roman" w:hAnsi="宋体" w:cs="Times New Roman" w:hint="eastAsia"/>
        </w:rPr>
        <w:t>%</w:t>
      </w:r>
      <w:r w:rsidR="001A20FF" w:rsidRPr="003A71F9">
        <w:rPr>
          <w:rFonts w:ascii="Times New Roman" w:hAnsi="宋体" w:cs="Times New Roman"/>
        </w:rPr>
        <w:t>）开展城市营销业务，</w:t>
      </w:r>
      <w:r w:rsidR="003A71F9" w:rsidRPr="003A71F9">
        <w:rPr>
          <w:rFonts w:ascii="Times New Roman" w:hAnsi="Times New Roman" w:cs="Times New Roman"/>
        </w:rPr>
        <w:t xml:space="preserve"> </w:t>
      </w:r>
      <w:r w:rsidR="00B62163" w:rsidRPr="003A71F9">
        <w:rPr>
          <w:rFonts w:ascii="Times New Roman" w:hAnsi="Times New Roman" w:cs="Times New Roman" w:hint="eastAsia"/>
        </w:rPr>
        <w:t>2</w:t>
      </w:r>
      <w:r w:rsidR="001A20FF" w:rsidRPr="003A71F9">
        <w:rPr>
          <w:rFonts w:ascii="Times New Roman" w:hAnsi="宋体" w:cs="Times New Roman"/>
        </w:rPr>
        <w:t>家（</w:t>
      </w:r>
      <w:r w:rsidR="00B62163" w:rsidRPr="003A71F9">
        <w:rPr>
          <w:rFonts w:ascii="Times New Roman" w:hAnsi="宋体" w:cs="Times New Roman" w:hint="eastAsia"/>
        </w:rPr>
        <w:t>6</w:t>
      </w:r>
      <w:r w:rsidR="008115D4" w:rsidRPr="003A71F9">
        <w:rPr>
          <w:rFonts w:ascii="Times New Roman" w:hAnsi="宋体" w:cs="Times New Roman" w:hint="eastAsia"/>
        </w:rPr>
        <w:t>%</w:t>
      </w:r>
      <w:r w:rsidR="001A20FF" w:rsidRPr="003A71F9">
        <w:rPr>
          <w:rFonts w:ascii="Times New Roman" w:hAnsi="宋体" w:cs="Times New Roman"/>
        </w:rPr>
        <w:t>）其他业务。</w:t>
      </w:r>
    </w:p>
    <w:p w:rsidR="00D46CE4" w:rsidRDefault="00D46CE4" w:rsidP="0069230B">
      <w:pPr>
        <w:spacing w:beforeLines="50" w:afterLines="50"/>
        <w:rPr>
          <w:rFonts w:ascii="Times New Roman" w:hAnsi="Times New Roman" w:cs="Times New Roman"/>
          <w:color w:val="000000"/>
        </w:rPr>
      </w:pPr>
      <w:r w:rsidRPr="00D46CE4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305425" cy="3133725"/>
            <wp:effectExtent l="19050" t="0" r="9525" b="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31A5" w:rsidRDefault="001F31A5" w:rsidP="0069230B">
      <w:pPr>
        <w:spacing w:beforeLines="50" w:afterLines="50"/>
        <w:ind w:firstLine="420"/>
        <w:rPr>
          <w:rFonts w:ascii="Times New Roman" w:hAnsi="宋体" w:cs="Times New Roman"/>
          <w:color w:val="000000"/>
        </w:rPr>
      </w:pPr>
    </w:p>
    <w:p w:rsidR="00047E60" w:rsidRPr="003F0BFB" w:rsidRDefault="00047E60" w:rsidP="0069230B">
      <w:pPr>
        <w:spacing w:beforeLines="50" w:afterLines="50"/>
        <w:ind w:firstLine="420"/>
        <w:rPr>
          <w:rFonts w:ascii="Times New Roman" w:hAnsi="宋体" w:cs="Times New Roman"/>
          <w:color w:val="000000"/>
        </w:rPr>
      </w:pPr>
      <w:r w:rsidRPr="003F0BFB">
        <w:rPr>
          <w:rFonts w:ascii="Times New Roman" w:hAnsi="宋体" w:cs="Times New Roman"/>
          <w:color w:val="000000"/>
        </w:rPr>
        <w:lastRenderedPageBreak/>
        <w:t>据统计，</w:t>
      </w:r>
      <w:r w:rsidRPr="003F0BFB">
        <w:rPr>
          <w:rFonts w:ascii="Times New Roman" w:hAnsi="宋体" w:cs="Times New Roman"/>
          <w:color w:val="000000"/>
        </w:rPr>
        <w:t>35</w:t>
      </w:r>
      <w:r w:rsidRPr="003F0BFB">
        <w:rPr>
          <w:rFonts w:ascii="Times New Roman" w:hAnsi="宋体" w:cs="Times New Roman"/>
          <w:color w:val="000000"/>
        </w:rPr>
        <w:t>家公司中网络公关业务营业收入在</w:t>
      </w:r>
      <w:r w:rsidRPr="003F0BFB">
        <w:rPr>
          <w:rFonts w:ascii="Times New Roman" w:hAnsi="宋体" w:cs="Times New Roman"/>
          <w:color w:val="000000"/>
        </w:rPr>
        <w:t>3000</w:t>
      </w:r>
      <w:r w:rsidRPr="003F0BFB">
        <w:rPr>
          <w:rFonts w:ascii="Times New Roman" w:hAnsi="宋体" w:cs="Times New Roman"/>
          <w:color w:val="000000"/>
        </w:rPr>
        <w:t>万元以上的公司为</w:t>
      </w:r>
      <w:r w:rsidRPr="003F0BFB">
        <w:rPr>
          <w:rFonts w:ascii="Times New Roman" w:hAnsi="宋体" w:cs="Times New Roman" w:hint="eastAsia"/>
          <w:color w:val="000000"/>
        </w:rPr>
        <w:t>1</w:t>
      </w:r>
      <w:r w:rsidR="00D77DAD">
        <w:rPr>
          <w:rFonts w:ascii="Times New Roman" w:hAnsi="宋体" w:cs="Times New Roman" w:hint="eastAsia"/>
          <w:color w:val="000000"/>
        </w:rPr>
        <w:t>4</w:t>
      </w:r>
      <w:r w:rsidRPr="003F0BFB">
        <w:rPr>
          <w:rFonts w:ascii="Times New Roman" w:hAnsi="宋体" w:cs="Times New Roman"/>
          <w:color w:val="000000"/>
        </w:rPr>
        <w:t>家，比去年</w:t>
      </w:r>
      <w:r w:rsidRPr="003F0BFB">
        <w:rPr>
          <w:rFonts w:ascii="Times New Roman" w:hAnsi="宋体" w:cs="Times New Roman" w:hint="eastAsia"/>
          <w:color w:val="000000"/>
        </w:rPr>
        <w:t>增加</w:t>
      </w:r>
      <w:r w:rsidR="00D77DAD">
        <w:rPr>
          <w:rFonts w:ascii="Times New Roman" w:hAnsi="宋体" w:cs="Times New Roman" w:hint="eastAsia"/>
          <w:color w:val="000000"/>
        </w:rPr>
        <w:t>4</w:t>
      </w:r>
      <w:r w:rsidRPr="003F0BFB">
        <w:rPr>
          <w:rFonts w:ascii="Times New Roman" w:hAnsi="宋体" w:cs="Times New Roman"/>
          <w:color w:val="000000"/>
        </w:rPr>
        <w:t>家</w:t>
      </w:r>
      <w:r w:rsidRPr="003F0BFB">
        <w:rPr>
          <w:rFonts w:ascii="Times New Roman" w:hAnsi="宋体" w:cs="Times New Roman" w:hint="eastAsia"/>
          <w:color w:val="000000"/>
        </w:rPr>
        <w:t>。整个市场中，新媒体业务占公关总体业务的</w:t>
      </w:r>
      <w:r w:rsidR="00D77DAD">
        <w:rPr>
          <w:rFonts w:ascii="Times New Roman" w:hAnsi="宋体" w:cs="Times New Roman" w:hint="eastAsia"/>
          <w:color w:val="000000"/>
        </w:rPr>
        <w:t>30.3</w:t>
      </w:r>
      <w:r w:rsidRPr="003F0BFB">
        <w:rPr>
          <w:rFonts w:ascii="Times New Roman" w:hAnsi="宋体" w:cs="Times New Roman" w:hint="eastAsia"/>
          <w:color w:val="000000"/>
        </w:rPr>
        <w:t>%</w:t>
      </w:r>
      <w:r w:rsidRPr="003F0BFB">
        <w:rPr>
          <w:rFonts w:ascii="Times New Roman" w:hAnsi="宋体" w:cs="Times New Roman" w:hint="eastAsia"/>
          <w:color w:val="000000"/>
        </w:rPr>
        <w:t>，网络公关的收入占总营业收入的</w:t>
      </w:r>
      <w:r w:rsidR="00D77DAD">
        <w:rPr>
          <w:rFonts w:ascii="Times New Roman" w:hAnsi="宋体" w:cs="Times New Roman" w:hint="eastAsia"/>
          <w:color w:val="000000"/>
        </w:rPr>
        <w:t>26.6</w:t>
      </w:r>
      <w:r w:rsidRPr="003F0BFB">
        <w:rPr>
          <w:rFonts w:ascii="Times New Roman" w:hAnsi="宋体" w:cs="Times New Roman" w:hint="eastAsia"/>
          <w:color w:val="000000"/>
        </w:rPr>
        <w:t>%</w:t>
      </w:r>
      <w:r w:rsidRPr="003F0BFB">
        <w:rPr>
          <w:rFonts w:ascii="Times New Roman" w:hAnsi="宋体" w:cs="Times New Roman" w:hint="eastAsia"/>
          <w:color w:val="000000"/>
        </w:rPr>
        <w:t>。</w:t>
      </w:r>
    </w:p>
    <w:p w:rsidR="00D61A68" w:rsidRPr="002A725B" w:rsidRDefault="00D61A68" w:rsidP="0069230B">
      <w:pPr>
        <w:spacing w:beforeLines="50" w:afterLines="50"/>
        <w:ind w:firstLine="420"/>
        <w:rPr>
          <w:rFonts w:ascii="Times New Roman" w:hAnsi="Times New Roman" w:cs="Times New Roman"/>
          <w:color w:val="000000"/>
        </w:rPr>
      </w:pPr>
      <w:r w:rsidRPr="00241509">
        <w:rPr>
          <w:rFonts w:ascii="Times New Roman" w:hAnsi="Times New Roman" w:cs="Times New Roman"/>
          <w:color w:val="000000"/>
        </w:rPr>
        <w:t>3</w:t>
      </w:r>
      <w:r w:rsidR="008115D4" w:rsidRPr="00241509">
        <w:rPr>
          <w:rFonts w:ascii="Times New Roman" w:hAnsi="Times New Roman" w:cs="Times New Roman" w:hint="eastAsia"/>
          <w:color w:val="000000"/>
        </w:rPr>
        <w:t>5</w:t>
      </w:r>
      <w:r w:rsidRPr="00241509">
        <w:rPr>
          <w:rFonts w:ascii="Times New Roman" w:hAnsi="宋体" w:cs="Times New Roman"/>
          <w:color w:val="000000"/>
        </w:rPr>
        <w:t>家公司中开展网络公关业务的公司中，</w:t>
      </w:r>
      <w:r w:rsidR="00241509">
        <w:rPr>
          <w:rFonts w:ascii="Times New Roman" w:hAnsi="宋体" w:cs="Times New Roman" w:hint="eastAsia"/>
          <w:color w:val="000000"/>
        </w:rPr>
        <w:t>16</w:t>
      </w:r>
      <w:r w:rsidR="00192BF6" w:rsidRPr="00241509">
        <w:rPr>
          <w:rFonts w:ascii="Times New Roman" w:hAnsi="宋体" w:cs="Times New Roman"/>
          <w:color w:val="000000"/>
        </w:rPr>
        <w:t>家提供舆情监测服务（</w:t>
      </w:r>
      <w:r w:rsidR="00241509">
        <w:rPr>
          <w:rFonts w:ascii="Times New Roman" w:hAnsi="宋体" w:cs="Times New Roman" w:hint="eastAsia"/>
          <w:color w:val="000000"/>
        </w:rPr>
        <w:t>46</w:t>
      </w:r>
      <w:r w:rsidR="00192BF6" w:rsidRPr="00241509">
        <w:rPr>
          <w:rFonts w:ascii="Times New Roman" w:hAnsi="Times New Roman" w:cs="Times New Roman"/>
          <w:color w:val="000000"/>
        </w:rPr>
        <w:t>%</w:t>
      </w:r>
      <w:r w:rsidR="00192BF6" w:rsidRPr="00241509">
        <w:rPr>
          <w:rFonts w:ascii="Times New Roman" w:hAnsi="宋体" w:cs="Times New Roman"/>
          <w:color w:val="000000"/>
        </w:rPr>
        <w:t>），</w:t>
      </w:r>
      <w:r w:rsidR="00241509">
        <w:rPr>
          <w:rFonts w:ascii="Times New Roman" w:hAnsi="宋体" w:cs="Times New Roman" w:hint="eastAsia"/>
          <w:color w:val="000000"/>
        </w:rPr>
        <w:t>15</w:t>
      </w:r>
      <w:r w:rsidR="00D02A4A" w:rsidRPr="00241509">
        <w:rPr>
          <w:rFonts w:ascii="Times New Roman" w:hAnsi="宋体" w:cs="Times New Roman"/>
          <w:color w:val="000000"/>
        </w:rPr>
        <w:t>家提供危机处理服务（</w:t>
      </w:r>
      <w:r w:rsidR="00241509">
        <w:rPr>
          <w:rFonts w:ascii="Times New Roman" w:hAnsi="宋体" w:cs="Times New Roman" w:hint="eastAsia"/>
          <w:color w:val="000000"/>
        </w:rPr>
        <w:t>43</w:t>
      </w:r>
      <w:r w:rsidR="00D02A4A" w:rsidRPr="00241509">
        <w:rPr>
          <w:rFonts w:ascii="Times New Roman" w:hAnsi="Times New Roman" w:cs="Times New Roman"/>
          <w:color w:val="000000"/>
        </w:rPr>
        <w:t>%</w:t>
      </w:r>
      <w:r w:rsidR="00D02A4A" w:rsidRPr="00241509">
        <w:rPr>
          <w:rFonts w:ascii="Times New Roman" w:hAnsi="宋体" w:cs="Times New Roman"/>
          <w:color w:val="000000"/>
        </w:rPr>
        <w:t>）</w:t>
      </w:r>
      <w:r w:rsidR="00D02A4A" w:rsidRPr="00241509">
        <w:rPr>
          <w:rFonts w:ascii="Times New Roman" w:hAnsi="宋体" w:cs="Times New Roman" w:hint="eastAsia"/>
          <w:color w:val="000000"/>
        </w:rPr>
        <w:t>，</w:t>
      </w:r>
      <w:r w:rsidR="00241509">
        <w:rPr>
          <w:rFonts w:ascii="Times New Roman" w:hAnsi="宋体" w:cs="Times New Roman" w:hint="eastAsia"/>
          <w:color w:val="000000"/>
        </w:rPr>
        <w:t>30</w:t>
      </w:r>
      <w:r w:rsidR="00D02A4A" w:rsidRPr="00241509">
        <w:rPr>
          <w:rFonts w:ascii="Times New Roman" w:hAnsi="宋体" w:cs="Times New Roman"/>
          <w:color w:val="000000"/>
        </w:rPr>
        <w:t>家提供产品推广服务（</w:t>
      </w:r>
      <w:r w:rsidR="00241509">
        <w:rPr>
          <w:rFonts w:ascii="Times New Roman" w:hAnsi="宋体" w:cs="Times New Roman" w:hint="eastAsia"/>
          <w:color w:val="000000"/>
        </w:rPr>
        <w:t>86</w:t>
      </w:r>
      <w:r w:rsidR="00D02A4A" w:rsidRPr="00241509">
        <w:rPr>
          <w:rFonts w:ascii="Times New Roman" w:hAnsi="Times New Roman" w:cs="Times New Roman"/>
          <w:color w:val="000000"/>
        </w:rPr>
        <w:t>%</w:t>
      </w:r>
      <w:r w:rsidR="00D02A4A" w:rsidRPr="00241509">
        <w:rPr>
          <w:rFonts w:ascii="Times New Roman" w:hAnsi="宋体" w:cs="Times New Roman"/>
          <w:color w:val="000000"/>
        </w:rPr>
        <w:t>），</w:t>
      </w:r>
      <w:r w:rsidR="00241509">
        <w:rPr>
          <w:rFonts w:ascii="Times New Roman" w:hAnsi="宋体" w:cs="Times New Roman" w:hint="eastAsia"/>
          <w:color w:val="000000"/>
        </w:rPr>
        <w:t>30</w:t>
      </w:r>
      <w:r w:rsidR="00D02A4A" w:rsidRPr="00241509">
        <w:rPr>
          <w:rFonts w:ascii="Times New Roman" w:hAnsi="宋体" w:cs="Times New Roman"/>
          <w:color w:val="000000"/>
        </w:rPr>
        <w:t>家提供企业传播服务（</w:t>
      </w:r>
      <w:r w:rsidR="00241509">
        <w:rPr>
          <w:rFonts w:ascii="Times New Roman" w:hAnsi="宋体" w:cs="Times New Roman" w:hint="eastAsia"/>
          <w:color w:val="000000"/>
        </w:rPr>
        <w:t>86</w:t>
      </w:r>
      <w:r w:rsidR="00D02A4A" w:rsidRPr="00241509">
        <w:rPr>
          <w:rFonts w:ascii="Times New Roman" w:hAnsi="Times New Roman" w:cs="Times New Roman"/>
          <w:color w:val="000000"/>
        </w:rPr>
        <w:t>%</w:t>
      </w:r>
      <w:r w:rsidR="00D02A4A" w:rsidRPr="00241509">
        <w:rPr>
          <w:rFonts w:ascii="Times New Roman" w:hAnsi="宋体" w:cs="Times New Roman"/>
          <w:color w:val="000000"/>
        </w:rPr>
        <w:t>），</w:t>
      </w:r>
      <w:r w:rsidR="00241509">
        <w:rPr>
          <w:rFonts w:ascii="Times New Roman" w:hAnsi="宋体" w:cs="Times New Roman" w:hint="eastAsia"/>
          <w:color w:val="000000"/>
        </w:rPr>
        <w:t>24</w:t>
      </w:r>
      <w:r w:rsidR="00D02A4A" w:rsidRPr="00241509">
        <w:rPr>
          <w:rFonts w:ascii="Times New Roman" w:hAnsi="宋体" w:cs="Times New Roman"/>
          <w:color w:val="000000"/>
        </w:rPr>
        <w:t>家提供事件营销（</w:t>
      </w:r>
      <w:r w:rsidR="00241509">
        <w:rPr>
          <w:rFonts w:ascii="Times New Roman" w:hAnsi="宋体" w:cs="Times New Roman" w:hint="eastAsia"/>
          <w:color w:val="000000"/>
        </w:rPr>
        <w:t>69</w:t>
      </w:r>
      <w:r w:rsidR="00D02A4A" w:rsidRPr="00241509">
        <w:rPr>
          <w:rFonts w:ascii="Times New Roman" w:hAnsi="Times New Roman" w:cs="Times New Roman"/>
          <w:color w:val="000000"/>
        </w:rPr>
        <w:t>%</w:t>
      </w:r>
      <w:r w:rsidR="00D02A4A" w:rsidRPr="00241509">
        <w:rPr>
          <w:rFonts w:ascii="Times New Roman" w:hAnsi="宋体" w:cs="Times New Roman"/>
          <w:color w:val="000000"/>
        </w:rPr>
        <w:t>），</w:t>
      </w:r>
      <w:r w:rsidR="00241509">
        <w:rPr>
          <w:rFonts w:ascii="Times New Roman" w:hAnsi="宋体" w:cs="Times New Roman" w:hint="eastAsia"/>
          <w:color w:val="000000"/>
        </w:rPr>
        <w:t>22</w:t>
      </w:r>
      <w:r w:rsidR="00B12AA9" w:rsidRPr="00241509">
        <w:rPr>
          <w:rFonts w:ascii="Times New Roman" w:hAnsi="宋体" w:cs="Times New Roman"/>
          <w:color w:val="000000"/>
        </w:rPr>
        <w:t>家提供口碑营销服务</w:t>
      </w:r>
      <w:r w:rsidR="00B12AA9" w:rsidRPr="00241509">
        <w:rPr>
          <w:rFonts w:ascii="Times New Roman" w:hAnsi="Times New Roman" w:cs="Times New Roman"/>
          <w:color w:val="000000"/>
        </w:rPr>
        <w:t>(</w:t>
      </w:r>
      <w:r w:rsidR="00241509">
        <w:rPr>
          <w:rFonts w:ascii="Times New Roman" w:hAnsi="Times New Roman" w:cs="Times New Roman" w:hint="eastAsia"/>
          <w:color w:val="000000"/>
        </w:rPr>
        <w:t>63</w:t>
      </w:r>
      <w:r w:rsidR="00B12AA9" w:rsidRPr="00241509">
        <w:rPr>
          <w:rFonts w:ascii="Times New Roman" w:hAnsi="Times New Roman" w:cs="Times New Roman"/>
          <w:color w:val="000000"/>
        </w:rPr>
        <w:t>%)</w:t>
      </w:r>
      <w:r w:rsidR="00B12AA9" w:rsidRPr="00241509">
        <w:rPr>
          <w:rFonts w:ascii="Times New Roman" w:hAnsi="宋体" w:cs="Times New Roman"/>
          <w:color w:val="000000"/>
        </w:rPr>
        <w:t>，</w:t>
      </w:r>
      <w:r w:rsidR="00241509">
        <w:rPr>
          <w:rFonts w:ascii="Times New Roman" w:hAnsi="宋体" w:cs="Times New Roman" w:hint="eastAsia"/>
          <w:color w:val="000000"/>
        </w:rPr>
        <w:t>26</w:t>
      </w:r>
      <w:r w:rsidRPr="00241509">
        <w:rPr>
          <w:rFonts w:ascii="Times New Roman" w:hAnsi="宋体" w:cs="Times New Roman"/>
          <w:color w:val="000000"/>
        </w:rPr>
        <w:t>家提供整合传播服务（</w:t>
      </w:r>
      <w:r w:rsidR="00241509">
        <w:rPr>
          <w:rFonts w:ascii="Times New Roman" w:hAnsi="宋体" w:cs="Times New Roman" w:hint="eastAsia"/>
          <w:color w:val="000000"/>
        </w:rPr>
        <w:t>74</w:t>
      </w:r>
      <w:r w:rsidRPr="00241509">
        <w:rPr>
          <w:rFonts w:ascii="Times New Roman" w:hAnsi="Times New Roman" w:cs="Times New Roman"/>
          <w:color w:val="000000"/>
        </w:rPr>
        <w:t>%</w:t>
      </w:r>
      <w:r w:rsidRPr="00241509">
        <w:rPr>
          <w:rFonts w:ascii="Times New Roman" w:hAnsi="宋体" w:cs="Times New Roman"/>
          <w:color w:val="000000"/>
        </w:rPr>
        <w:t>）</w:t>
      </w:r>
      <w:r w:rsidR="002A725B" w:rsidRPr="00241509">
        <w:rPr>
          <w:rFonts w:ascii="Times New Roman" w:hAnsi="宋体" w:cs="Times New Roman" w:hint="eastAsia"/>
          <w:color w:val="000000"/>
        </w:rPr>
        <w:t>。</w:t>
      </w:r>
    </w:p>
    <w:p w:rsidR="0064585B" w:rsidRPr="00D61A68" w:rsidRDefault="00CB33AC" w:rsidP="00D85FC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274310" cy="3276600"/>
            <wp:effectExtent l="19050" t="0" r="2159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31A5" w:rsidRDefault="001F31A5" w:rsidP="0069230B">
      <w:pPr>
        <w:spacing w:beforeLines="50" w:afterLines="50"/>
        <w:ind w:firstLineChars="200" w:firstLine="420"/>
        <w:rPr>
          <w:rFonts w:ascii="Times New Roman" w:eastAsia="宋体" w:hAnsi="宋体" w:cs="Times New Roman"/>
        </w:rPr>
      </w:pPr>
    </w:p>
    <w:p w:rsidR="00E62EA8" w:rsidRPr="00B5759B" w:rsidRDefault="00E62EA8" w:rsidP="0069230B">
      <w:pPr>
        <w:spacing w:beforeLines="50" w:afterLines="50"/>
        <w:ind w:firstLineChars="200" w:firstLine="420"/>
        <w:rPr>
          <w:rFonts w:ascii="Times New Roman" w:hAnsi="Times New Roman" w:cs="Times New Roman"/>
        </w:rPr>
      </w:pPr>
      <w:r w:rsidRPr="002A725B">
        <w:rPr>
          <w:rFonts w:ascii="Times New Roman" w:eastAsia="宋体" w:hAnsi="宋体" w:cs="Times New Roman"/>
        </w:rPr>
        <w:t>调查显示，</w:t>
      </w:r>
      <w:r w:rsidR="009F3FFB">
        <w:rPr>
          <w:rFonts w:ascii="Times New Roman" w:eastAsia="宋体" w:hAnsi="宋体" w:cs="Times New Roman" w:hint="eastAsia"/>
        </w:rPr>
        <w:t>35</w:t>
      </w:r>
      <w:r w:rsidR="009F3FFB">
        <w:rPr>
          <w:rFonts w:ascii="Times New Roman" w:eastAsia="宋体" w:hAnsi="宋体" w:cs="Times New Roman" w:hint="eastAsia"/>
        </w:rPr>
        <w:t>家公司全部在</w:t>
      </w:r>
      <w:r w:rsidR="009F3FFB">
        <w:rPr>
          <w:rFonts w:ascii="Times New Roman" w:eastAsia="宋体" w:hAnsi="宋体" w:cs="Times New Roman" w:hint="eastAsia"/>
        </w:rPr>
        <w:t>2</w:t>
      </w:r>
      <w:r w:rsidR="009F3FFB">
        <w:rPr>
          <w:rFonts w:ascii="Times New Roman" w:eastAsia="宋体" w:hAnsi="宋体" w:cs="Times New Roman" w:hint="eastAsia"/>
        </w:rPr>
        <w:t>个或</w:t>
      </w:r>
      <w:r w:rsidR="009F3FFB">
        <w:rPr>
          <w:rFonts w:ascii="Times New Roman" w:eastAsia="宋体" w:hAnsi="宋体" w:cs="Times New Roman" w:hint="eastAsia"/>
        </w:rPr>
        <w:t>2</w:t>
      </w:r>
      <w:r w:rsidR="009F3FFB">
        <w:rPr>
          <w:rFonts w:ascii="Times New Roman" w:eastAsia="宋体" w:hAnsi="宋体" w:cs="Times New Roman" w:hint="eastAsia"/>
        </w:rPr>
        <w:t>个以上城市</w:t>
      </w:r>
      <w:proofErr w:type="gramStart"/>
      <w:r w:rsidR="009F3FFB">
        <w:rPr>
          <w:rFonts w:ascii="Times New Roman" w:eastAsia="宋体" w:hAnsi="宋体" w:cs="Times New Roman" w:hint="eastAsia"/>
        </w:rPr>
        <w:t>设立办</w:t>
      </w:r>
      <w:proofErr w:type="gramEnd"/>
      <w:r w:rsidR="009F3FFB">
        <w:rPr>
          <w:rFonts w:ascii="Times New Roman" w:eastAsia="宋体" w:hAnsi="宋体" w:cs="Times New Roman" w:hint="eastAsia"/>
        </w:rPr>
        <w:t>公司，</w:t>
      </w:r>
      <w:r w:rsidR="00653CF8">
        <w:rPr>
          <w:rFonts w:ascii="Times New Roman" w:eastAsia="宋体" w:hAnsi="Times New Roman" w:cs="Times New Roman" w:hint="eastAsia"/>
        </w:rPr>
        <w:t>北京、上海、广州和成都仍然是公关公司的主要</w:t>
      </w:r>
      <w:r w:rsidR="00AC6A59">
        <w:rPr>
          <w:rFonts w:ascii="Times New Roman" w:eastAsia="宋体" w:hAnsi="Times New Roman" w:cs="Times New Roman" w:hint="eastAsia"/>
        </w:rPr>
        <w:t>集中地</w:t>
      </w:r>
      <w:r w:rsidR="00653CF8">
        <w:rPr>
          <w:rFonts w:ascii="Times New Roman" w:eastAsia="宋体" w:hAnsi="Times New Roman" w:cs="Times New Roman" w:hint="eastAsia"/>
        </w:rPr>
        <w:t>，</w:t>
      </w:r>
      <w:r w:rsidR="00AC6A59">
        <w:rPr>
          <w:rFonts w:ascii="Times New Roman" w:eastAsia="宋体" w:hAnsi="Times New Roman" w:cs="Times New Roman" w:hint="eastAsia"/>
        </w:rPr>
        <w:t>并</w:t>
      </w:r>
      <w:r w:rsidR="000C07B2">
        <w:rPr>
          <w:rFonts w:ascii="Times New Roman" w:eastAsia="宋体" w:hAnsi="Times New Roman" w:cs="Times New Roman" w:hint="eastAsia"/>
        </w:rPr>
        <w:t>且</w:t>
      </w:r>
      <w:r w:rsidR="00AC6A59">
        <w:rPr>
          <w:rFonts w:ascii="Times New Roman" w:eastAsia="宋体" w:hAnsi="Times New Roman" w:cs="Times New Roman" w:hint="eastAsia"/>
        </w:rPr>
        <w:t>逐渐向</w:t>
      </w:r>
      <w:r w:rsidR="000C07B2">
        <w:rPr>
          <w:rFonts w:ascii="Times New Roman" w:eastAsia="宋体" w:hAnsi="Times New Roman" w:cs="Times New Roman" w:hint="eastAsia"/>
        </w:rPr>
        <w:t>其他</w:t>
      </w:r>
      <w:r w:rsidR="009F3FFB">
        <w:rPr>
          <w:rFonts w:ascii="Times New Roman" w:eastAsia="宋体" w:hAnsi="Times New Roman" w:cs="Times New Roman" w:hint="eastAsia"/>
        </w:rPr>
        <w:t>一线城市</w:t>
      </w:r>
      <w:r w:rsidR="000C07B2">
        <w:rPr>
          <w:rFonts w:ascii="Times New Roman" w:eastAsia="宋体" w:hAnsi="Times New Roman" w:cs="Times New Roman" w:hint="eastAsia"/>
        </w:rPr>
        <w:t>（</w:t>
      </w:r>
      <w:r w:rsidR="00AC6A59">
        <w:rPr>
          <w:rFonts w:ascii="Times New Roman" w:eastAsia="宋体" w:hAnsi="Times New Roman" w:cs="Times New Roman" w:hint="eastAsia"/>
        </w:rPr>
        <w:t>如深圳、香港、重庆、杭州等</w:t>
      </w:r>
      <w:r w:rsidR="000C07B2">
        <w:rPr>
          <w:rFonts w:ascii="Times New Roman" w:eastAsia="宋体" w:hAnsi="Times New Roman" w:cs="Times New Roman" w:hint="eastAsia"/>
        </w:rPr>
        <w:t>）延伸。</w:t>
      </w:r>
    </w:p>
    <w:p w:rsidR="00982353" w:rsidRDefault="00982353" w:rsidP="00D85FCE">
      <w:pPr>
        <w:jc w:val="center"/>
        <w:rPr>
          <w:rFonts w:ascii="Times New Roman" w:eastAsia="宋体" w:hAnsi="宋体" w:cs="Times New Roman"/>
        </w:rPr>
      </w:pPr>
    </w:p>
    <w:p w:rsidR="00653CF8" w:rsidRDefault="00653CF8" w:rsidP="00D85FCE">
      <w:pPr>
        <w:jc w:val="center"/>
        <w:rPr>
          <w:rFonts w:ascii="华文中宋" w:eastAsia="华文中宋" w:hAnsi="华文中宋" w:cs="Times New Roman"/>
          <w:b/>
          <w:bCs/>
          <w:sz w:val="44"/>
        </w:rPr>
      </w:pPr>
    </w:p>
    <w:p w:rsidR="00653CF8" w:rsidRDefault="00653CF8" w:rsidP="00D85FCE">
      <w:pPr>
        <w:jc w:val="center"/>
        <w:rPr>
          <w:rFonts w:ascii="华文中宋" w:eastAsia="华文中宋" w:hAnsi="华文中宋" w:cs="Times New Roman"/>
          <w:b/>
          <w:bCs/>
          <w:sz w:val="44"/>
        </w:rPr>
      </w:pPr>
    </w:p>
    <w:p w:rsidR="00364902" w:rsidRDefault="00364902" w:rsidP="00D85FCE">
      <w:pPr>
        <w:jc w:val="center"/>
        <w:rPr>
          <w:rFonts w:ascii="华文中宋" w:eastAsia="华文中宋" w:hAnsi="华文中宋" w:cs="Times New Roman"/>
          <w:b/>
          <w:bCs/>
          <w:sz w:val="44"/>
        </w:rPr>
      </w:pPr>
    </w:p>
    <w:p w:rsidR="00364902" w:rsidRDefault="00364902" w:rsidP="00D85FCE">
      <w:pPr>
        <w:jc w:val="center"/>
        <w:rPr>
          <w:rFonts w:ascii="华文中宋" w:eastAsia="华文中宋" w:hAnsi="华文中宋" w:cs="Times New Roman"/>
          <w:b/>
          <w:bCs/>
          <w:sz w:val="44"/>
        </w:rPr>
      </w:pPr>
    </w:p>
    <w:p w:rsidR="0064585B" w:rsidRPr="00A654EF" w:rsidRDefault="00E62EA8" w:rsidP="00D85FCE">
      <w:pPr>
        <w:jc w:val="center"/>
        <w:rPr>
          <w:rFonts w:ascii="Times New Roman" w:hAnsi="Times New Roman" w:cs="Times New Roman"/>
          <w:szCs w:val="21"/>
        </w:rPr>
      </w:pPr>
      <w:r w:rsidRPr="00713A82">
        <w:rPr>
          <w:rFonts w:ascii="Times New Roman" w:eastAsia="华文中宋" w:hAnsi="Times New Roman" w:cs="Times New Roman"/>
          <w:b/>
          <w:bCs/>
          <w:sz w:val="44"/>
        </w:rPr>
        <w:lastRenderedPageBreak/>
        <w:t>TOP</w:t>
      </w:r>
      <w:r w:rsidRPr="00A654EF">
        <w:rPr>
          <w:rFonts w:ascii="华文中宋" w:eastAsia="华文中宋" w:hAnsi="华文中宋" w:cs="Times New Roman" w:hint="eastAsia"/>
          <w:b/>
          <w:bCs/>
          <w:sz w:val="44"/>
        </w:rPr>
        <w:t>公司研究</w:t>
      </w:r>
    </w:p>
    <w:p w:rsidR="00E62EA8" w:rsidRPr="00A654EF" w:rsidRDefault="00E62EA8" w:rsidP="0069230B">
      <w:pPr>
        <w:spacing w:beforeLines="50" w:afterLines="50"/>
        <w:rPr>
          <w:rFonts w:ascii="宋体" w:hAnsi="宋体"/>
          <w:b/>
          <w:bCs/>
        </w:rPr>
      </w:pPr>
      <w:r w:rsidRPr="00A654EF">
        <w:rPr>
          <w:rFonts w:ascii="宋体" w:hAnsi="宋体" w:hint="eastAsia"/>
          <w:b/>
          <w:bCs/>
        </w:rPr>
        <w:t>营业情况：</w:t>
      </w:r>
    </w:p>
    <w:p w:rsidR="00D81172" w:rsidRPr="00E33A45" w:rsidRDefault="00E62EA8" w:rsidP="0069230B">
      <w:pPr>
        <w:numPr>
          <w:ilvl w:val="0"/>
          <w:numId w:val="1"/>
        </w:numPr>
        <w:spacing w:beforeLines="50" w:afterLines="50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TOP</w:t>
      </w:r>
      <w:r w:rsidRPr="00E33A45">
        <w:rPr>
          <w:rFonts w:ascii="Times New Roman" w:hAnsi="宋体" w:cs="Times New Roman"/>
        </w:rPr>
        <w:t>公司</w:t>
      </w:r>
      <w:r w:rsidR="009E235B" w:rsidRPr="00E33A45">
        <w:rPr>
          <w:rFonts w:ascii="Times New Roman" w:hAnsi="宋体" w:cs="Times New Roman"/>
        </w:rPr>
        <w:t>平均年营业额</w:t>
      </w:r>
      <w:r w:rsidR="009E235B">
        <w:rPr>
          <w:rFonts w:ascii="Times New Roman" w:hAnsi="Times New Roman" w:cs="Times New Roman" w:hint="eastAsia"/>
        </w:rPr>
        <w:t>37127</w:t>
      </w:r>
      <w:r w:rsidR="009E235B" w:rsidRPr="00E33A45">
        <w:rPr>
          <w:rFonts w:ascii="Times New Roman" w:hAnsi="宋体" w:cs="Times New Roman"/>
        </w:rPr>
        <w:t>万</w:t>
      </w:r>
      <w:r w:rsidR="009E235B" w:rsidRPr="00E33A45">
        <w:rPr>
          <w:rFonts w:ascii="Times New Roman" w:cs="Times New Roman"/>
          <w:bCs/>
        </w:rPr>
        <w:t>元，比上年</w:t>
      </w:r>
      <w:r w:rsidR="009E235B" w:rsidRPr="00E33A45">
        <w:rPr>
          <w:rFonts w:ascii="Times New Roman" w:hAnsi="Times New Roman" w:cs="Times New Roman" w:hint="eastAsia"/>
          <w:bCs/>
        </w:rPr>
        <w:t>31142</w:t>
      </w:r>
      <w:r w:rsidR="009E235B" w:rsidRPr="00E33A45">
        <w:rPr>
          <w:rFonts w:ascii="Times New Roman" w:cs="Times New Roman"/>
          <w:bCs/>
        </w:rPr>
        <w:t>万</w:t>
      </w:r>
      <w:r w:rsidR="009E235B" w:rsidRPr="00E33A45">
        <w:rPr>
          <w:rFonts w:ascii="Times New Roman" w:hAnsi="宋体" w:cs="Times New Roman"/>
        </w:rPr>
        <w:t>元</w:t>
      </w:r>
      <w:r w:rsidR="009E235B">
        <w:rPr>
          <w:rFonts w:ascii="Times New Roman" w:hAnsi="宋体" w:cs="Times New Roman" w:hint="eastAsia"/>
        </w:rPr>
        <w:t>增长</w:t>
      </w:r>
      <w:r w:rsidR="009E235B" w:rsidRPr="00E33A45">
        <w:rPr>
          <w:rFonts w:ascii="Times New Roman" w:hAnsi="宋体" w:cs="Times New Roman" w:hint="eastAsia"/>
        </w:rPr>
        <w:t>了</w:t>
      </w:r>
      <w:r w:rsidR="009E235B">
        <w:rPr>
          <w:rFonts w:ascii="Times New Roman" w:hAnsi="宋体" w:cs="Times New Roman" w:hint="eastAsia"/>
        </w:rPr>
        <w:t>19.2</w:t>
      </w:r>
      <w:r w:rsidR="009E235B" w:rsidRPr="00E33A45">
        <w:rPr>
          <w:rFonts w:ascii="Times New Roman" w:hAnsi="宋体" w:cs="Times New Roman" w:hint="eastAsia"/>
        </w:rPr>
        <w:t>%</w:t>
      </w:r>
      <w:r w:rsidR="009E235B">
        <w:rPr>
          <w:rFonts w:ascii="Times New Roman" w:hAnsi="宋体" w:cs="Times New Roman" w:hint="eastAsia"/>
        </w:rPr>
        <w:t>；</w:t>
      </w:r>
      <w:r w:rsidRPr="00E33A45">
        <w:rPr>
          <w:rFonts w:ascii="Times New Roman" w:hAnsi="宋体" w:cs="Times New Roman"/>
        </w:rPr>
        <w:t>平均年营业</w:t>
      </w:r>
      <w:r w:rsidR="000C07B2" w:rsidRPr="00E33A45">
        <w:rPr>
          <w:rFonts w:ascii="Times New Roman" w:hAnsi="宋体" w:cs="Times New Roman" w:hint="eastAsia"/>
        </w:rPr>
        <w:t>利润</w:t>
      </w:r>
      <w:r w:rsidR="008B2F1D">
        <w:rPr>
          <w:rFonts w:ascii="Times New Roman" w:hAnsi="Times New Roman" w:cs="Times New Roman" w:hint="eastAsia"/>
        </w:rPr>
        <w:t>16308</w:t>
      </w:r>
      <w:r w:rsidRPr="00E33A45">
        <w:rPr>
          <w:rFonts w:ascii="Times New Roman" w:hAnsi="宋体" w:cs="Times New Roman"/>
        </w:rPr>
        <w:t>万元，比上年</w:t>
      </w:r>
      <w:r w:rsidR="00D81172" w:rsidRPr="00E33A45">
        <w:rPr>
          <w:rFonts w:ascii="Times New Roman" w:hAnsi="Times New Roman" w:cs="Times New Roman" w:hint="eastAsia"/>
        </w:rPr>
        <w:t>13583</w:t>
      </w:r>
      <w:r w:rsidRPr="00E33A45">
        <w:rPr>
          <w:rFonts w:ascii="Times New Roman" w:hAnsi="宋体" w:cs="Times New Roman"/>
        </w:rPr>
        <w:t>万元</w:t>
      </w:r>
      <w:r w:rsidR="008B2F1D">
        <w:rPr>
          <w:rFonts w:ascii="Times New Roman" w:hAnsi="宋体" w:cs="Times New Roman" w:hint="eastAsia"/>
        </w:rPr>
        <w:t>增长</w:t>
      </w:r>
      <w:r w:rsidR="00D81172" w:rsidRPr="00E33A45">
        <w:rPr>
          <w:rFonts w:ascii="Times New Roman" w:hAnsi="宋体" w:cs="Times New Roman" w:hint="eastAsia"/>
        </w:rPr>
        <w:t>了</w:t>
      </w:r>
      <w:r w:rsidR="00A83F84">
        <w:rPr>
          <w:rFonts w:ascii="Times New Roman" w:hAnsi="宋体" w:cs="Times New Roman" w:hint="eastAsia"/>
        </w:rPr>
        <w:t>20</w:t>
      </w:r>
      <w:r w:rsidRPr="00E33A45">
        <w:rPr>
          <w:rFonts w:ascii="Times New Roman" w:hAnsi="Times New Roman" w:cs="Times New Roman"/>
        </w:rPr>
        <w:t>%</w:t>
      </w:r>
      <w:r w:rsidR="001571C1" w:rsidRPr="00E33A45">
        <w:rPr>
          <w:rFonts w:ascii="Times New Roman" w:hAnsi="宋体" w:cs="Times New Roman" w:hint="eastAsia"/>
        </w:rPr>
        <w:t>；</w:t>
      </w:r>
      <w:r w:rsidR="001E54DC">
        <w:rPr>
          <w:rFonts w:ascii="Times New Roman" w:hAnsi="宋体" w:cs="Times New Roman" w:hint="eastAsia"/>
        </w:rPr>
        <w:t>年增长率</w:t>
      </w:r>
      <w:r w:rsidR="008B2F1D">
        <w:rPr>
          <w:rFonts w:ascii="Times New Roman" w:hAnsi="宋体" w:cs="Times New Roman" w:hint="eastAsia"/>
        </w:rPr>
        <w:t>19.1</w:t>
      </w:r>
      <w:r w:rsidR="001E54DC">
        <w:rPr>
          <w:rFonts w:ascii="Times New Roman" w:hAnsi="宋体" w:cs="Times New Roman" w:hint="eastAsia"/>
        </w:rPr>
        <w:t>%</w:t>
      </w:r>
      <w:r w:rsidR="001E54DC">
        <w:rPr>
          <w:rFonts w:ascii="Times New Roman" w:hAnsi="宋体" w:cs="Times New Roman" w:hint="eastAsia"/>
        </w:rPr>
        <w:t>，比上年增长</w:t>
      </w:r>
      <w:r w:rsidR="008B2F1D">
        <w:rPr>
          <w:rFonts w:ascii="Times New Roman" w:hAnsi="宋体" w:cs="Times New Roman" w:hint="eastAsia"/>
        </w:rPr>
        <w:t>8.8</w:t>
      </w:r>
      <w:r w:rsidR="001E54DC">
        <w:rPr>
          <w:rFonts w:ascii="Times New Roman" w:hAnsi="宋体" w:cs="Times New Roman" w:hint="eastAsia"/>
        </w:rPr>
        <w:t>%</w:t>
      </w:r>
      <w:r w:rsidR="00B66F2A">
        <w:rPr>
          <w:rFonts w:ascii="Times New Roman" w:hAnsi="宋体" w:cs="Times New Roman" w:hint="eastAsia"/>
        </w:rPr>
        <w:t>；</w:t>
      </w:r>
    </w:p>
    <w:p w:rsidR="007C422C" w:rsidRPr="00211FAF" w:rsidRDefault="00E62EA8" w:rsidP="0069230B">
      <w:pPr>
        <w:numPr>
          <w:ilvl w:val="0"/>
          <w:numId w:val="1"/>
        </w:numPr>
        <w:spacing w:beforeLines="50" w:afterLines="50"/>
        <w:rPr>
          <w:rFonts w:ascii="Times New Roman" w:hAnsi="Times New Roman" w:cs="Times New Roman"/>
          <w:color w:val="00B050"/>
        </w:rPr>
      </w:pPr>
      <w:r w:rsidRPr="00211FAF">
        <w:rPr>
          <w:rFonts w:ascii="Times New Roman" w:hAnsi="Times New Roman" w:cs="Times New Roman"/>
        </w:rPr>
        <w:t>TOP</w:t>
      </w:r>
      <w:r w:rsidRPr="00211FAF">
        <w:rPr>
          <w:rFonts w:ascii="Times New Roman" w:hAnsi="Times New Roman" w:cs="Times New Roman"/>
        </w:rPr>
        <w:t>公司人均年营业收入</w:t>
      </w:r>
      <w:r w:rsidR="007C422C" w:rsidRPr="00211FAF">
        <w:rPr>
          <w:rFonts w:ascii="Times New Roman" w:hAnsi="Times New Roman" w:cs="Times New Roman" w:hint="eastAsia"/>
        </w:rPr>
        <w:t>与去年相比有所增加，</w:t>
      </w:r>
      <w:r w:rsidRPr="00211FAF">
        <w:rPr>
          <w:rFonts w:ascii="Times New Roman" w:hAnsi="Times New Roman" w:cs="Times New Roman"/>
        </w:rPr>
        <w:t>达到</w:t>
      </w:r>
      <w:r w:rsidR="00E33A45" w:rsidRPr="00211FAF">
        <w:rPr>
          <w:rFonts w:ascii="Times New Roman" w:hAnsi="Times New Roman" w:cs="Times New Roman" w:hint="eastAsia"/>
        </w:rPr>
        <w:t>59.1</w:t>
      </w:r>
      <w:r w:rsidRPr="00211FAF">
        <w:rPr>
          <w:rFonts w:ascii="Times New Roman" w:hAnsi="Times New Roman" w:cs="Times New Roman"/>
        </w:rPr>
        <w:t>万元</w:t>
      </w:r>
      <w:r w:rsidRPr="00211FAF">
        <w:rPr>
          <w:rFonts w:ascii="Times New Roman" w:hAnsi="Times New Roman" w:cs="Times New Roman"/>
        </w:rPr>
        <w:t>/</w:t>
      </w:r>
      <w:r w:rsidR="002F58E0" w:rsidRPr="00211FAF">
        <w:rPr>
          <w:rFonts w:ascii="Times New Roman" w:hAnsi="Times New Roman" w:cs="Times New Roman"/>
        </w:rPr>
        <w:t>年</w:t>
      </w:r>
      <w:r w:rsidR="00B66F2A">
        <w:rPr>
          <w:rFonts w:ascii="Times New Roman" w:hAnsi="Times New Roman" w:cs="Times New Roman" w:hint="eastAsia"/>
        </w:rPr>
        <w:t>；</w:t>
      </w:r>
    </w:p>
    <w:p w:rsidR="00E62EA8" w:rsidRPr="00E33A45" w:rsidRDefault="00E33A45" w:rsidP="0069230B">
      <w:pPr>
        <w:numPr>
          <w:ilvl w:val="0"/>
          <w:numId w:val="1"/>
        </w:numPr>
        <w:spacing w:beforeLines="50" w:afterLines="50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 w:hint="eastAsia"/>
        </w:rPr>
        <w:t>年平均</w:t>
      </w:r>
      <w:r w:rsidR="00E62EA8" w:rsidRPr="00E33A45">
        <w:rPr>
          <w:rFonts w:ascii="Times New Roman" w:hAnsi="Times New Roman" w:cs="Times New Roman"/>
        </w:rPr>
        <w:t>签</w:t>
      </w:r>
      <w:r w:rsidRPr="00E33A45">
        <w:rPr>
          <w:rFonts w:ascii="Times New Roman" w:hAnsi="宋体" w:cs="Times New Roman"/>
        </w:rPr>
        <w:t>约客户</w:t>
      </w:r>
      <w:r w:rsidRPr="00E33A45">
        <w:rPr>
          <w:rFonts w:ascii="Times New Roman" w:hAnsi="宋体" w:cs="Times New Roman" w:hint="eastAsia"/>
        </w:rPr>
        <w:t>3</w:t>
      </w:r>
      <w:r w:rsidR="008B2F1D">
        <w:rPr>
          <w:rFonts w:ascii="Times New Roman" w:hAnsi="宋体" w:cs="Times New Roman" w:hint="eastAsia"/>
        </w:rPr>
        <w:t>3</w:t>
      </w:r>
      <w:r w:rsidRPr="00E33A45">
        <w:rPr>
          <w:rFonts w:ascii="Times New Roman" w:hAnsi="宋体" w:cs="Times New Roman" w:hint="eastAsia"/>
        </w:rPr>
        <w:t>个，</w:t>
      </w:r>
      <w:r w:rsidR="0081242F" w:rsidRPr="00E33A45">
        <w:rPr>
          <w:rFonts w:ascii="Times New Roman" w:hAnsi="宋体" w:cs="Times New Roman"/>
        </w:rPr>
        <w:t>日常代理</w:t>
      </w:r>
      <w:r w:rsidRPr="00E33A45">
        <w:rPr>
          <w:rFonts w:ascii="Times New Roman" w:hAnsi="宋体" w:cs="Times New Roman"/>
        </w:rPr>
        <w:t>客户比重</w:t>
      </w:r>
      <w:r w:rsidR="008B2F1D">
        <w:rPr>
          <w:rFonts w:ascii="Times New Roman" w:hAnsi="宋体" w:cs="Times New Roman" w:hint="eastAsia"/>
        </w:rPr>
        <w:t>66</w:t>
      </w:r>
      <w:r w:rsidR="00E62EA8" w:rsidRPr="00E33A45">
        <w:rPr>
          <w:rFonts w:ascii="Times New Roman" w:hAnsi="Times New Roman" w:cs="Times New Roman"/>
        </w:rPr>
        <w:t>%</w:t>
      </w:r>
      <w:r w:rsidR="00D85FCE" w:rsidRPr="00E33A45">
        <w:rPr>
          <w:rFonts w:ascii="Times New Roman" w:hAnsi="Times New Roman" w:cs="Times New Roman" w:hint="eastAsia"/>
        </w:rPr>
        <w:t>，</w:t>
      </w:r>
      <w:r w:rsidR="007C422C" w:rsidRPr="00E33A45">
        <w:rPr>
          <w:rFonts w:ascii="Times New Roman" w:hAnsi="Times New Roman" w:cs="Times New Roman" w:hint="eastAsia"/>
        </w:rPr>
        <w:t>与去年相比略有下降。</w:t>
      </w:r>
      <w:r w:rsidRPr="00E33A45">
        <w:rPr>
          <w:rFonts w:ascii="Times New Roman" w:hAnsi="宋体" w:cs="Times New Roman"/>
        </w:rPr>
        <w:t>外资客户比重</w:t>
      </w:r>
      <w:r w:rsidRPr="00E33A45">
        <w:rPr>
          <w:rFonts w:ascii="Times New Roman" w:hAnsi="宋体" w:cs="Times New Roman" w:hint="eastAsia"/>
        </w:rPr>
        <w:t>由上年度的</w:t>
      </w:r>
      <w:r w:rsidRPr="00E33A45">
        <w:rPr>
          <w:rFonts w:ascii="Times New Roman" w:hAnsi="宋体" w:cs="Times New Roman" w:hint="eastAsia"/>
        </w:rPr>
        <w:t>60.6%</w:t>
      </w:r>
      <w:r w:rsidR="008B2F1D">
        <w:rPr>
          <w:rFonts w:ascii="Times New Roman" w:hAnsi="宋体" w:cs="Times New Roman" w:hint="eastAsia"/>
        </w:rPr>
        <w:t>减少为</w:t>
      </w:r>
      <w:r w:rsidR="008B2F1D">
        <w:rPr>
          <w:rFonts w:ascii="Times New Roman" w:hAnsi="宋体" w:cs="Times New Roman" w:hint="eastAsia"/>
        </w:rPr>
        <w:t>48</w:t>
      </w:r>
      <w:r w:rsidR="00E62EA8" w:rsidRPr="00E33A45">
        <w:rPr>
          <w:rFonts w:ascii="Times New Roman" w:hAnsi="Times New Roman" w:cs="Times New Roman"/>
        </w:rPr>
        <w:t>%</w:t>
      </w:r>
      <w:r w:rsidR="002F58E0" w:rsidRPr="00E33A45">
        <w:rPr>
          <w:rFonts w:ascii="Times New Roman" w:hAnsi="Times New Roman" w:cs="Times New Roman"/>
        </w:rPr>
        <w:t>，</w:t>
      </w:r>
      <w:r w:rsidRPr="00E33A45">
        <w:rPr>
          <w:rFonts w:ascii="Times New Roman" w:hAnsi="宋体" w:cs="Times New Roman"/>
        </w:rPr>
        <w:t>连续签约客户</w:t>
      </w:r>
      <w:r w:rsidR="002F58E0" w:rsidRPr="00E33A45">
        <w:rPr>
          <w:rFonts w:ascii="Times New Roman" w:hAnsi="宋体" w:cs="Times New Roman"/>
        </w:rPr>
        <w:t>3</w:t>
      </w:r>
      <w:r w:rsidR="008B2F1D">
        <w:rPr>
          <w:rFonts w:ascii="Times New Roman" w:hAnsi="Times New Roman" w:cs="Times New Roman" w:hint="eastAsia"/>
        </w:rPr>
        <w:t>5</w:t>
      </w:r>
      <w:r w:rsidR="002F58E0" w:rsidRPr="00E33A45">
        <w:rPr>
          <w:rFonts w:ascii="Times New Roman" w:hAnsi="Times New Roman" w:cs="Times New Roman"/>
        </w:rPr>
        <w:t>个</w:t>
      </w:r>
      <w:r w:rsidR="002F58E0" w:rsidRPr="00E33A45">
        <w:rPr>
          <w:rFonts w:ascii="Times New Roman" w:hAnsi="宋体" w:cs="Times New Roman"/>
        </w:rPr>
        <w:t>，战略</w:t>
      </w:r>
      <w:r w:rsidR="002F58E0" w:rsidRPr="00E33A45">
        <w:rPr>
          <w:rFonts w:ascii="Times New Roman" w:hAnsi="Times New Roman" w:cs="Times New Roman"/>
        </w:rPr>
        <w:t>客户数</w:t>
      </w:r>
      <w:r w:rsidRPr="00E33A45">
        <w:rPr>
          <w:rFonts w:ascii="Times New Roman" w:hAnsi="Times New Roman" w:cs="Times New Roman" w:hint="eastAsia"/>
        </w:rPr>
        <w:t>1</w:t>
      </w:r>
      <w:r w:rsidR="008B2F1D">
        <w:rPr>
          <w:rFonts w:ascii="Times New Roman" w:hAnsi="Times New Roman" w:cs="Times New Roman" w:hint="eastAsia"/>
        </w:rPr>
        <w:t>4</w:t>
      </w:r>
      <w:r w:rsidR="002F58E0" w:rsidRPr="00E33A45">
        <w:rPr>
          <w:rFonts w:ascii="Times New Roman" w:hAnsi="Times New Roman" w:cs="Times New Roman"/>
        </w:rPr>
        <w:t>个</w:t>
      </w:r>
      <w:r w:rsidR="00B66F2A">
        <w:rPr>
          <w:rFonts w:ascii="Times New Roman" w:hAnsi="Times New Roman" w:cs="Times New Roman" w:hint="eastAsia"/>
        </w:rPr>
        <w:t>；</w:t>
      </w:r>
    </w:p>
    <w:p w:rsidR="00211FAF" w:rsidRPr="006271DD" w:rsidRDefault="00364902" w:rsidP="0069230B">
      <w:pPr>
        <w:numPr>
          <w:ilvl w:val="0"/>
          <w:numId w:val="1"/>
        </w:numPr>
        <w:spacing w:beforeLines="50" w:afterLines="50"/>
        <w:rPr>
          <w:rFonts w:ascii="Times New Roman" w:hAnsi="Times New Roman" w:cs="Times New Roman"/>
        </w:rPr>
      </w:pPr>
      <w:r w:rsidRPr="006271DD">
        <w:rPr>
          <w:rFonts w:ascii="Times New Roman" w:hAnsi="Times New Roman" w:cs="Times New Roman" w:hint="eastAsia"/>
        </w:rPr>
        <w:t>受</w:t>
      </w:r>
      <w:r w:rsidR="006271DD" w:rsidRPr="006271DD">
        <w:rPr>
          <w:rFonts w:ascii="Times New Roman" w:hAnsi="Times New Roman" w:cs="Times New Roman" w:hint="eastAsia"/>
        </w:rPr>
        <w:t>中国经济增长放缓的影响，</w:t>
      </w:r>
      <w:r w:rsidR="006271DD" w:rsidRPr="006271DD">
        <w:rPr>
          <w:rFonts w:ascii="Times New Roman" w:hAnsi="Times New Roman" w:cs="Times New Roman" w:hint="eastAsia"/>
        </w:rPr>
        <w:t>TOP</w:t>
      </w:r>
      <w:r w:rsidR="006271DD" w:rsidRPr="006271DD">
        <w:rPr>
          <w:rFonts w:ascii="Times New Roman" w:hAnsi="Times New Roman" w:cs="Times New Roman" w:hint="eastAsia"/>
        </w:rPr>
        <w:t>公司大多增长势头放缓，但行业龙头公司蓝色光标</w:t>
      </w:r>
      <w:r w:rsidR="00B1027F">
        <w:rPr>
          <w:rFonts w:ascii="Times New Roman" w:hAnsi="Times New Roman" w:cs="Times New Roman" w:hint="eastAsia"/>
        </w:rPr>
        <w:t>依然</w:t>
      </w:r>
      <w:r w:rsidR="006271DD" w:rsidRPr="006271DD">
        <w:rPr>
          <w:rFonts w:ascii="Times New Roman" w:hAnsi="Times New Roman" w:cs="Times New Roman" w:hint="eastAsia"/>
        </w:rPr>
        <w:t>保持了</w:t>
      </w:r>
      <w:r w:rsidR="0012103C">
        <w:rPr>
          <w:rFonts w:ascii="Times New Roman" w:hAnsi="Times New Roman" w:cs="Times New Roman" w:hint="eastAsia"/>
        </w:rPr>
        <w:t>较快增长</w:t>
      </w:r>
      <w:r w:rsidR="00B66F2A" w:rsidRPr="006271DD">
        <w:rPr>
          <w:rFonts w:ascii="Times New Roman" w:hAnsi="Times New Roman" w:cs="Times New Roman" w:hint="eastAsia"/>
        </w:rPr>
        <w:t>；</w:t>
      </w:r>
    </w:p>
    <w:p w:rsidR="000E6D5E" w:rsidRDefault="000E6D5E" w:rsidP="0069230B">
      <w:pPr>
        <w:numPr>
          <w:ilvl w:val="0"/>
          <w:numId w:val="1"/>
        </w:numPr>
        <w:spacing w:beforeLines="50" w:afterLines="50"/>
        <w:rPr>
          <w:rFonts w:ascii="Times New Roman" w:hAnsi="Times New Roman" w:cs="Times New Roman"/>
        </w:rPr>
      </w:pPr>
      <w:r w:rsidRPr="000E6D5E">
        <w:rPr>
          <w:rFonts w:ascii="Times New Roman" w:hAnsi="Times New Roman" w:cs="Times New Roman" w:hint="eastAsia"/>
        </w:rPr>
        <w:t>国际公司</w:t>
      </w:r>
      <w:r w:rsidR="00FF10FC">
        <w:rPr>
          <w:rFonts w:ascii="Times New Roman" w:hAnsi="Times New Roman" w:cs="Times New Roman" w:hint="eastAsia"/>
        </w:rPr>
        <w:t>在中国的业务保持了稳定增长；</w:t>
      </w:r>
    </w:p>
    <w:p w:rsidR="00364902" w:rsidRPr="000E6D5E" w:rsidRDefault="00B66F2A" w:rsidP="0069230B">
      <w:pPr>
        <w:numPr>
          <w:ilvl w:val="0"/>
          <w:numId w:val="1"/>
        </w:numPr>
        <w:spacing w:beforeLines="50" w:afterLines="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随着新媒体时代的进一步发展，某些从事传统业务的公关公司也在不断转型，</w:t>
      </w:r>
      <w:r w:rsidR="00FF10FC">
        <w:rPr>
          <w:rFonts w:ascii="Times New Roman" w:hAnsi="Times New Roman" w:cs="Times New Roman" w:hint="eastAsia"/>
        </w:rPr>
        <w:t>逐步</w:t>
      </w:r>
      <w:r>
        <w:rPr>
          <w:rFonts w:ascii="Times New Roman" w:hAnsi="Times New Roman" w:cs="Times New Roman" w:hint="eastAsia"/>
        </w:rPr>
        <w:t>涉足数字化</w:t>
      </w:r>
      <w:r w:rsidR="00A54EBB">
        <w:rPr>
          <w:rFonts w:ascii="Times New Roman" w:hAnsi="Times New Roman" w:cs="Times New Roman" w:hint="eastAsia"/>
        </w:rPr>
        <w:t>传播及</w:t>
      </w:r>
      <w:r>
        <w:rPr>
          <w:rFonts w:ascii="Times New Roman" w:hAnsi="Times New Roman" w:cs="Times New Roman" w:hint="eastAsia"/>
        </w:rPr>
        <w:t>营销、大数据营销等领域。</w:t>
      </w:r>
    </w:p>
    <w:p w:rsidR="00E62EA8" w:rsidRDefault="00E62EA8" w:rsidP="0069230B">
      <w:pPr>
        <w:spacing w:beforeLines="50" w:afterLines="50"/>
        <w:rPr>
          <w:rFonts w:ascii="Times New Roman" w:hAnsi="Times New Roman" w:cs="Times New Roman"/>
          <w:b/>
          <w:bCs/>
          <w:color w:val="4F6228" w:themeColor="accent3" w:themeShade="80"/>
          <w:highlight w:val="lightGray"/>
        </w:rPr>
      </w:pPr>
    </w:p>
    <w:p w:rsidR="00211FAF" w:rsidRPr="008E484B" w:rsidRDefault="00211FAF" w:rsidP="0069230B">
      <w:pPr>
        <w:spacing w:beforeLines="50" w:afterLines="50"/>
        <w:rPr>
          <w:rFonts w:ascii="Times New Roman" w:hAnsi="Times New Roman" w:cs="Times New Roman"/>
          <w:b/>
          <w:bCs/>
          <w:color w:val="4F6228" w:themeColor="accent3" w:themeShade="80"/>
          <w:highlight w:val="lightGray"/>
        </w:rPr>
      </w:pPr>
    </w:p>
    <w:p w:rsidR="00E62EA8" w:rsidRPr="00E33A45" w:rsidRDefault="00E62EA8" w:rsidP="0069230B">
      <w:pPr>
        <w:spacing w:beforeLines="50" w:afterLines="50"/>
        <w:rPr>
          <w:rFonts w:ascii="Times New Roman" w:hAnsi="Times New Roman" w:cs="Times New Roman"/>
          <w:b/>
          <w:bCs/>
        </w:rPr>
      </w:pPr>
      <w:r w:rsidRPr="00E33A45">
        <w:rPr>
          <w:rFonts w:ascii="Times New Roman" w:hAnsi="宋体" w:cs="Times New Roman"/>
          <w:b/>
          <w:bCs/>
        </w:rPr>
        <w:t>运营管理：</w:t>
      </w:r>
    </w:p>
    <w:p w:rsidR="00E62EA8" w:rsidRPr="00BE188E" w:rsidRDefault="00E62EA8" w:rsidP="0069230B">
      <w:pPr>
        <w:numPr>
          <w:ilvl w:val="0"/>
          <w:numId w:val="1"/>
        </w:numPr>
        <w:spacing w:beforeLines="50" w:afterLines="50"/>
        <w:rPr>
          <w:rFonts w:ascii="Times New Roman" w:hAnsi="Times New Roman" w:cs="Times New Roman"/>
        </w:rPr>
      </w:pPr>
      <w:r w:rsidRPr="00BE188E">
        <w:rPr>
          <w:rFonts w:ascii="Times New Roman" w:hAnsi="宋体" w:cs="Times New Roman"/>
          <w:bCs/>
          <w:noProof/>
        </w:rPr>
        <w:t>年平均员工人数由上年的</w:t>
      </w:r>
      <w:r w:rsidR="00BE188E" w:rsidRPr="00BE188E">
        <w:rPr>
          <w:rFonts w:ascii="Times New Roman" w:hAnsi="Times New Roman" w:cs="Times New Roman" w:hint="eastAsia"/>
          <w:bCs/>
          <w:noProof/>
        </w:rPr>
        <w:t>343</w:t>
      </w:r>
      <w:r w:rsidRPr="00BE188E">
        <w:rPr>
          <w:rFonts w:ascii="Times New Roman" w:hAnsi="宋体" w:cs="Times New Roman"/>
          <w:bCs/>
          <w:noProof/>
        </w:rPr>
        <w:t>人</w:t>
      </w:r>
      <w:r w:rsidR="00A83F84">
        <w:rPr>
          <w:rFonts w:ascii="Times New Roman" w:hAnsi="宋体" w:cs="Times New Roman" w:hint="eastAsia"/>
          <w:bCs/>
          <w:noProof/>
        </w:rPr>
        <w:t>增加</w:t>
      </w:r>
      <w:r w:rsidR="00BE188E" w:rsidRPr="00BE188E">
        <w:rPr>
          <w:rFonts w:ascii="Times New Roman" w:hAnsi="宋体" w:cs="Times New Roman" w:hint="eastAsia"/>
          <w:bCs/>
          <w:noProof/>
        </w:rPr>
        <w:t>到</w:t>
      </w:r>
      <w:r w:rsidR="00BE188E" w:rsidRPr="00BE188E">
        <w:rPr>
          <w:rFonts w:ascii="Times New Roman" w:hAnsi="宋体" w:cs="Times New Roman" w:hint="eastAsia"/>
          <w:bCs/>
          <w:noProof/>
        </w:rPr>
        <w:t>3</w:t>
      </w:r>
      <w:r w:rsidR="00A83F84">
        <w:rPr>
          <w:rFonts w:ascii="Times New Roman" w:hAnsi="宋体" w:cs="Times New Roman" w:hint="eastAsia"/>
          <w:bCs/>
          <w:noProof/>
        </w:rPr>
        <w:t>46</w:t>
      </w:r>
      <w:r w:rsidR="00A83F84">
        <w:rPr>
          <w:rFonts w:ascii="Times New Roman" w:hAnsi="宋体" w:cs="Times New Roman"/>
          <w:bCs/>
          <w:noProof/>
        </w:rPr>
        <w:t>人</w:t>
      </w:r>
      <w:r w:rsidR="00A83F84">
        <w:rPr>
          <w:rFonts w:ascii="Times New Roman" w:hAnsi="宋体" w:cs="Times New Roman" w:hint="eastAsia"/>
          <w:bCs/>
          <w:noProof/>
        </w:rPr>
        <w:t>，增加</w:t>
      </w:r>
      <w:r w:rsidR="00A83F84">
        <w:rPr>
          <w:rFonts w:ascii="Times New Roman" w:hAnsi="宋体" w:cs="Times New Roman" w:hint="eastAsia"/>
          <w:bCs/>
          <w:noProof/>
        </w:rPr>
        <w:t>3</w:t>
      </w:r>
      <w:r w:rsidRPr="00BE188E">
        <w:rPr>
          <w:rFonts w:ascii="Times New Roman" w:hAnsi="宋体" w:cs="Times New Roman"/>
          <w:bCs/>
          <w:noProof/>
        </w:rPr>
        <w:t>人；</w:t>
      </w:r>
      <w:r w:rsidRPr="00BE188E">
        <w:rPr>
          <w:rFonts w:ascii="Times New Roman" w:hAnsi="宋体" w:cs="Times New Roman"/>
        </w:rPr>
        <w:t>管理团队平均人数</w:t>
      </w:r>
      <w:r w:rsidR="00A83F84">
        <w:rPr>
          <w:rFonts w:ascii="Times New Roman" w:hAnsi="宋体" w:cs="Times New Roman" w:hint="eastAsia"/>
        </w:rPr>
        <w:t>没有变化，仍为</w:t>
      </w:r>
      <w:r w:rsidR="00A83F84">
        <w:rPr>
          <w:rFonts w:ascii="Times New Roman" w:hAnsi="宋体" w:cs="Times New Roman" w:hint="eastAsia"/>
        </w:rPr>
        <w:t>43</w:t>
      </w:r>
      <w:r w:rsidR="00A83F84">
        <w:rPr>
          <w:rFonts w:ascii="Times New Roman" w:hAnsi="宋体" w:cs="Times New Roman" w:hint="eastAsia"/>
        </w:rPr>
        <w:t>人</w:t>
      </w:r>
      <w:r w:rsidR="00B66F2A">
        <w:rPr>
          <w:rFonts w:ascii="Times New Roman" w:hAnsi="宋体" w:cs="Times New Roman" w:hint="eastAsia"/>
        </w:rPr>
        <w:t>；</w:t>
      </w:r>
    </w:p>
    <w:p w:rsidR="00E62EA8" w:rsidRPr="00BE188E" w:rsidRDefault="00E62EA8" w:rsidP="0069230B">
      <w:pPr>
        <w:numPr>
          <w:ilvl w:val="0"/>
          <w:numId w:val="1"/>
        </w:numPr>
        <w:spacing w:beforeLines="50" w:afterLines="50"/>
        <w:rPr>
          <w:rFonts w:ascii="Times New Roman" w:hAnsi="Times New Roman" w:cs="Times New Roman"/>
        </w:rPr>
      </w:pPr>
      <w:r w:rsidRPr="00BE188E">
        <w:rPr>
          <w:rFonts w:ascii="Times New Roman" w:hAnsi="宋体" w:cs="Times New Roman"/>
        </w:rPr>
        <w:t>女性雇员</w:t>
      </w:r>
      <w:r w:rsidR="00500AE9" w:rsidRPr="00BE188E">
        <w:rPr>
          <w:rFonts w:ascii="Times New Roman" w:hAnsi="宋体" w:cs="Times New Roman" w:hint="eastAsia"/>
        </w:rPr>
        <w:t>仍然</w:t>
      </w:r>
      <w:r w:rsidRPr="00BE188E">
        <w:rPr>
          <w:rFonts w:ascii="Times New Roman" w:hAnsi="宋体" w:cs="Times New Roman"/>
        </w:rPr>
        <w:t>继续保持</w:t>
      </w:r>
      <w:r w:rsidRPr="00BE188E">
        <w:rPr>
          <w:rFonts w:ascii="Times New Roman" w:hAnsi="Times New Roman" w:cs="Times New Roman"/>
        </w:rPr>
        <w:t>60</w:t>
      </w:r>
      <w:r w:rsidRPr="00BE188E">
        <w:rPr>
          <w:rFonts w:ascii="Times New Roman" w:hAnsi="宋体" w:cs="Times New Roman"/>
        </w:rPr>
        <w:t>％以上的比重（达到</w:t>
      </w:r>
      <w:r w:rsidRPr="00BE188E">
        <w:rPr>
          <w:rFonts w:ascii="Times New Roman" w:hAnsi="Times New Roman" w:cs="Times New Roman"/>
        </w:rPr>
        <w:t>6</w:t>
      </w:r>
      <w:r w:rsidR="00BE188E" w:rsidRPr="00BE188E">
        <w:rPr>
          <w:rFonts w:ascii="Times New Roman" w:hAnsi="Times New Roman" w:cs="Times New Roman" w:hint="eastAsia"/>
        </w:rPr>
        <w:t>1</w:t>
      </w:r>
      <w:r w:rsidRPr="00BE188E">
        <w:rPr>
          <w:rFonts w:ascii="Times New Roman" w:hAnsi="Times New Roman" w:cs="Times New Roman"/>
        </w:rPr>
        <w:t>%</w:t>
      </w:r>
      <w:r w:rsidRPr="00BE188E">
        <w:rPr>
          <w:rFonts w:ascii="Times New Roman" w:hAnsi="宋体" w:cs="Times New Roman"/>
        </w:rPr>
        <w:t>），职业平均年龄维持在</w:t>
      </w:r>
      <w:r w:rsidR="00500AE9" w:rsidRPr="00BE188E">
        <w:rPr>
          <w:rFonts w:ascii="Times New Roman" w:hAnsi="Times New Roman" w:cs="Times New Roman" w:hint="eastAsia"/>
        </w:rPr>
        <w:t>2</w:t>
      </w:r>
      <w:r w:rsidR="00BE188E" w:rsidRPr="00BE188E">
        <w:rPr>
          <w:rFonts w:ascii="Times New Roman" w:hAnsi="Times New Roman" w:cs="Times New Roman" w:hint="eastAsia"/>
        </w:rPr>
        <w:t>9</w:t>
      </w:r>
      <w:r w:rsidRPr="00BE188E">
        <w:rPr>
          <w:rFonts w:ascii="Times New Roman" w:hAnsi="宋体" w:cs="Times New Roman"/>
        </w:rPr>
        <w:t>岁左右；平均留任时间为</w:t>
      </w:r>
      <w:r w:rsidR="00FC2CEB">
        <w:rPr>
          <w:rFonts w:ascii="Times New Roman" w:hAnsi="Times New Roman" w:cs="Times New Roman" w:hint="eastAsia"/>
        </w:rPr>
        <w:t>3</w:t>
      </w:r>
      <w:r w:rsidRPr="00BE188E">
        <w:rPr>
          <w:rFonts w:ascii="Times New Roman" w:hAnsi="宋体" w:cs="Times New Roman"/>
        </w:rPr>
        <w:t>年（人员流动率</w:t>
      </w:r>
      <w:r w:rsidR="00A83F84">
        <w:rPr>
          <w:rFonts w:ascii="Times New Roman" w:hAnsi="宋体" w:cs="Times New Roman" w:hint="eastAsia"/>
        </w:rPr>
        <w:t>26</w:t>
      </w:r>
      <w:r w:rsidR="00BE188E" w:rsidRPr="00BE188E">
        <w:rPr>
          <w:rFonts w:ascii="Times New Roman" w:hAnsi="宋体" w:cs="Times New Roman" w:hint="eastAsia"/>
        </w:rPr>
        <w:t>%</w:t>
      </w:r>
      <w:r w:rsidR="00BE188E" w:rsidRPr="00BE188E">
        <w:rPr>
          <w:rFonts w:ascii="Times New Roman" w:hAnsi="宋体" w:cs="Times New Roman" w:hint="eastAsia"/>
        </w:rPr>
        <w:t>，较上年度有所降低，</w:t>
      </w:r>
      <w:r w:rsidRPr="00BE188E">
        <w:rPr>
          <w:rFonts w:ascii="Times New Roman" w:hAnsi="宋体" w:cs="Times New Roman"/>
        </w:rPr>
        <w:t>），周平均工作时数</w:t>
      </w:r>
      <w:r w:rsidR="00EA0DBC" w:rsidRPr="00BE188E">
        <w:rPr>
          <w:rFonts w:ascii="Times New Roman" w:hAnsi="Times New Roman" w:cs="Times New Roman"/>
        </w:rPr>
        <w:t>4</w:t>
      </w:r>
      <w:r w:rsidR="00BE188E" w:rsidRPr="00BE188E">
        <w:rPr>
          <w:rFonts w:ascii="Times New Roman" w:hAnsi="Times New Roman" w:cs="Times New Roman" w:hint="eastAsia"/>
        </w:rPr>
        <w:t>5</w:t>
      </w:r>
      <w:r w:rsidRPr="00BE188E">
        <w:rPr>
          <w:rFonts w:ascii="Times New Roman" w:hAnsi="宋体" w:cs="Times New Roman"/>
        </w:rPr>
        <w:t>小时</w:t>
      </w:r>
      <w:r w:rsidR="00B66F2A">
        <w:rPr>
          <w:rFonts w:ascii="Times New Roman" w:hAnsi="宋体" w:cs="Times New Roman" w:hint="eastAsia"/>
        </w:rPr>
        <w:t>；</w:t>
      </w:r>
    </w:p>
    <w:p w:rsidR="00E62EA8" w:rsidRPr="0039666D" w:rsidRDefault="00E62EA8" w:rsidP="0069230B">
      <w:pPr>
        <w:numPr>
          <w:ilvl w:val="0"/>
          <w:numId w:val="1"/>
        </w:numPr>
        <w:spacing w:beforeLines="50" w:afterLines="50"/>
        <w:rPr>
          <w:rFonts w:ascii="Times New Roman" w:hAnsi="Times New Roman" w:cs="Times New Roman"/>
        </w:rPr>
      </w:pPr>
      <w:r w:rsidRPr="0039666D">
        <w:rPr>
          <w:rFonts w:ascii="Times New Roman" w:hAnsi="宋体" w:cs="Times New Roman"/>
        </w:rPr>
        <w:t>年人均培训时数</w:t>
      </w:r>
      <w:r w:rsidR="0039666D" w:rsidRPr="0039666D">
        <w:rPr>
          <w:rFonts w:ascii="Times New Roman" w:hAnsi="Times New Roman" w:cs="Times New Roman" w:hint="eastAsia"/>
        </w:rPr>
        <w:t>73</w:t>
      </w:r>
      <w:r w:rsidR="0039666D" w:rsidRPr="0039666D">
        <w:rPr>
          <w:rFonts w:ascii="Times New Roman" w:hAnsi="宋体" w:cs="Times New Roman"/>
        </w:rPr>
        <w:t>小时</w:t>
      </w:r>
      <w:r w:rsidRPr="0039666D">
        <w:rPr>
          <w:rFonts w:ascii="Times New Roman" w:hAnsi="宋体" w:cs="Times New Roman"/>
        </w:rPr>
        <w:t>，主要培训集中于专业技能、业务认知、岗位技能和业务管理等四个方面，一般通过内部业务交流、部门岗位培训和公司课程训练来解决</w:t>
      </w:r>
      <w:r w:rsidR="00B66F2A">
        <w:rPr>
          <w:rFonts w:ascii="Times New Roman" w:hAnsi="宋体" w:cs="Times New Roman" w:hint="eastAsia"/>
        </w:rPr>
        <w:t>；</w:t>
      </w:r>
    </w:p>
    <w:p w:rsidR="00E62EA8" w:rsidRPr="00AE2A7A" w:rsidRDefault="00E62EA8" w:rsidP="0069230B">
      <w:pPr>
        <w:numPr>
          <w:ilvl w:val="0"/>
          <w:numId w:val="1"/>
        </w:numPr>
        <w:spacing w:beforeLines="50" w:afterLines="50"/>
        <w:rPr>
          <w:rFonts w:ascii="Times New Roman" w:hAnsi="Times New Roman" w:cs="Times New Roman"/>
        </w:rPr>
      </w:pPr>
      <w:r w:rsidRPr="00AE2A7A">
        <w:rPr>
          <w:rFonts w:ascii="Times New Roman" w:hAnsi="宋体" w:cs="Times New Roman"/>
        </w:rPr>
        <w:t>年平均工资水平为</w:t>
      </w:r>
      <w:r w:rsidR="00A83F84">
        <w:rPr>
          <w:rFonts w:ascii="Times New Roman" w:hAnsi="Times New Roman" w:cs="Times New Roman" w:hint="eastAsia"/>
        </w:rPr>
        <w:t>9445</w:t>
      </w:r>
      <w:r w:rsidRPr="00AE2A7A">
        <w:rPr>
          <w:rFonts w:ascii="Times New Roman" w:hAnsi="宋体" w:cs="Times New Roman"/>
        </w:rPr>
        <w:t>元</w:t>
      </w:r>
      <w:r w:rsidRPr="00AE2A7A">
        <w:rPr>
          <w:rFonts w:ascii="Times New Roman" w:hAnsi="Times New Roman" w:cs="Times New Roman"/>
        </w:rPr>
        <w:t>/</w:t>
      </w:r>
      <w:r w:rsidR="008B1059" w:rsidRPr="00AE2A7A">
        <w:rPr>
          <w:rFonts w:ascii="Times New Roman" w:hAnsi="宋体" w:cs="Times New Roman"/>
        </w:rPr>
        <w:t>月</w:t>
      </w:r>
      <w:r w:rsidR="0039666D" w:rsidRPr="00AE2A7A">
        <w:rPr>
          <w:rFonts w:ascii="Times New Roman" w:hAnsi="宋体" w:cs="Times New Roman" w:hint="eastAsia"/>
        </w:rPr>
        <w:t>（</w:t>
      </w:r>
      <w:r w:rsidR="0039666D" w:rsidRPr="00AE2A7A">
        <w:rPr>
          <w:rFonts w:ascii="Times New Roman" w:hAnsi="宋体" w:cs="Times New Roman" w:hint="eastAsia"/>
        </w:rPr>
        <w:t>2013</w:t>
      </w:r>
      <w:r w:rsidR="0039666D" w:rsidRPr="00AE2A7A">
        <w:rPr>
          <w:rFonts w:ascii="Times New Roman" w:hAnsi="宋体" w:cs="Times New Roman" w:hint="eastAsia"/>
        </w:rPr>
        <w:t>年为</w:t>
      </w:r>
      <w:r w:rsidR="0039666D" w:rsidRPr="00AE2A7A">
        <w:rPr>
          <w:rFonts w:ascii="Times New Roman" w:hAnsi="宋体" w:cs="Times New Roman" w:hint="eastAsia"/>
        </w:rPr>
        <w:t>8134</w:t>
      </w:r>
      <w:r w:rsidR="0039666D" w:rsidRPr="00AE2A7A">
        <w:rPr>
          <w:rFonts w:ascii="Times New Roman" w:hAnsi="宋体" w:cs="Times New Roman" w:hint="eastAsia"/>
        </w:rPr>
        <w:t>元，增加</w:t>
      </w:r>
      <w:r w:rsidR="00A83F84">
        <w:rPr>
          <w:rFonts w:ascii="Times New Roman" w:hAnsi="宋体" w:cs="Times New Roman" w:hint="eastAsia"/>
        </w:rPr>
        <w:t>16.1</w:t>
      </w:r>
      <w:r w:rsidR="0039666D" w:rsidRPr="00AE2A7A">
        <w:rPr>
          <w:rFonts w:ascii="Times New Roman" w:hAnsi="宋体" w:cs="Times New Roman" w:hint="eastAsia"/>
        </w:rPr>
        <w:t>%</w:t>
      </w:r>
      <w:r w:rsidRPr="00AE2A7A">
        <w:rPr>
          <w:rFonts w:ascii="Times New Roman" w:hAnsi="宋体" w:cs="Times New Roman"/>
        </w:rPr>
        <w:t>。客户经理平均月薪</w:t>
      </w:r>
      <w:r w:rsidR="00A83F84">
        <w:rPr>
          <w:rFonts w:ascii="Times New Roman" w:hAnsi="Times New Roman" w:cs="Times New Roman" w:hint="eastAsia"/>
        </w:rPr>
        <w:t>11060</w:t>
      </w:r>
      <w:r w:rsidRPr="00AE2A7A">
        <w:rPr>
          <w:rFonts w:ascii="Times New Roman" w:hAnsi="宋体" w:cs="Times New Roman"/>
        </w:rPr>
        <w:t>元（</w:t>
      </w:r>
      <w:r w:rsidR="008B1059" w:rsidRPr="00AE2A7A">
        <w:rPr>
          <w:rFonts w:ascii="Times New Roman" w:hAnsi="Times New Roman" w:cs="Times New Roman"/>
        </w:rPr>
        <w:t>201</w:t>
      </w:r>
      <w:r w:rsidR="0039666D" w:rsidRPr="00AE2A7A">
        <w:rPr>
          <w:rFonts w:ascii="Times New Roman" w:hAnsi="Times New Roman" w:cs="Times New Roman" w:hint="eastAsia"/>
        </w:rPr>
        <w:t>3</w:t>
      </w:r>
      <w:r w:rsidR="008B1059" w:rsidRPr="00AE2A7A">
        <w:rPr>
          <w:rFonts w:ascii="Times New Roman" w:hAnsi="宋体" w:cs="Times New Roman"/>
        </w:rPr>
        <w:t>年</w:t>
      </w:r>
      <w:r w:rsidR="0039666D" w:rsidRPr="00AE2A7A">
        <w:rPr>
          <w:rFonts w:ascii="Times New Roman" w:hAnsi="Times New Roman" w:cs="Times New Roman" w:hint="eastAsia"/>
        </w:rPr>
        <w:t>10888</w:t>
      </w:r>
      <w:r w:rsidR="002126AD" w:rsidRPr="00AE2A7A">
        <w:rPr>
          <w:rFonts w:ascii="Times New Roman" w:hAnsi="宋体" w:cs="Times New Roman"/>
        </w:rPr>
        <w:t>元，</w:t>
      </w:r>
      <w:r w:rsidR="0039666D" w:rsidRPr="00AE2A7A">
        <w:rPr>
          <w:rFonts w:ascii="Times New Roman" w:hAnsi="宋体" w:cs="Times New Roman" w:hint="eastAsia"/>
        </w:rPr>
        <w:t>增加</w:t>
      </w:r>
      <w:r w:rsidR="00A83F84">
        <w:rPr>
          <w:rFonts w:ascii="Times New Roman" w:hAnsi="宋体" w:cs="Times New Roman" w:hint="eastAsia"/>
        </w:rPr>
        <w:t>1.6</w:t>
      </w:r>
      <w:r w:rsidRPr="00AE2A7A">
        <w:rPr>
          <w:rFonts w:ascii="Times New Roman" w:hAnsi="Times New Roman" w:cs="Times New Roman"/>
        </w:rPr>
        <w:t>%</w:t>
      </w:r>
      <w:r w:rsidRPr="00AE2A7A">
        <w:rPr>
          <w:rFonts w:ascii="Times New Roman" w:hAnsi="宋体" w:cs="Times New Roman"/>
        </w:rPr>
        <w:t>），大学生转正平均月薪</w:t>
      </w:r>
      <w:r w:rsidR="00A83F84">
        <w:rPr>
          <w:rFonts w:ascii="Times New Roman" w:hAnsi="Times New Roman" w:cs="Times New Roman" w:hint="eastAsia"/>
        </w:rPr>
        <w:t>4114</w:t>
      </w:r>
      <w:r w:rsidRPr="00AE2A7A">
        <w:rPr>
          <w:rFonts w:ascii="Times New Roman" w:hAnsi="宋体" w:cs="Times New Roman"/>
        </w:rPr>
        <w:t>元（</w:t>
      </w:r>
      <w:r w:rsidR="008B1059" w:rsidRPr="00AE2A7A">
        <w:rPr>
          <w:rFonts w:ascii="Times New Roman" w:hAnsi="Times New Roman" w:cs="Times New Roman"/>
        </w:rPr>
        <w:t>201</w:t>
      </w:r>
      <w:r w:rsidR="0039666D" w:rsidRPr="00AE2A7A">
        <w:rPr>
          <w:rFonts w:ascii="Times New Roman" w:hAnsi="Times New Roman" w:cs="Times New Roman" w:hint="eastAsia"/>
        </w:rPr>
        <w:t>3</w:t>
      </w:r>
      <w:r w:rsidR="008B1059" w:rsidRPr="00AE2A7A">
        <w:rPr>
          <w:rFonts w:ascii="Times New Roman" w:hAnsi="宋体" w:cs="Times New Roman"/>
        </w:rPr>
        <w:t>年</w:t>
      </w:r>
      <w:r w:rsidR="0039666D" w:rsidRPr="00AE2A7A">
        <w:rPr>
          <w:rFonts w:ascii="Times New Roman" w:hAnsi="Times New Roman" w:cs="Times New Roman" w:hint="eastAsia"/>
        </w:rPr>
        <w:t>3818</w:t>
      </w:r>
      <w:r w:rsidR="008B1059" w:rsidRPr="00AE2A7A">
        <w:rPr>
          <w:rFonts w:ascii="Times New Roman" w:hAnsi="宋体" w:cs="Times New Roman"/>
        </w:rPr>
        <w:t>元，</w:t>
      </w:r>
      <w:r w:rsidR="0039666D" w:rsidRPr="00AE2A7A">
        <w:rPr>
          <w:rFonts w:ascii="Times New Roman" w:hAnsi="宋体" w:cs="Times New Roman" w:hint="eastAsia"/>
        </w:rPr>
        <w:t>增加</w:t>
      </w:r>
      <w:r w:rsidR="00A83F84">
        <w:rPr>
          <w:rFonts w:ascii="Times New Roman" w:hAnsi="宋体" w:cs="Times New Roman" w:hint="eastAsia"/>
        </w:rPr>
        <w:t>7.8</w:t>
      </w:r>
      <w:r w:rsidRPr="00AE2A7A">
        <w:rPr>
          <w:rFonts w:ascii="Times New Roman" w:hAnsi="Times New Roman" w:cs="Times New Roman"/>
        </w:rPr>
        <w:t>%</w:t>
      </w:r>
      <w:r w:rsidRPr="00AE2A7A">
        <w:rPr>
          <w:rFonts w:ascii="Times New Roman" w:hAnsi="宋体" w:cs="Times New Roman"/>
        </w:rPr>
        <w:t>）</w:t>
      </w:r>
      <w:r w:rsidR="00211FAF">
        <w:rPr>
          <w:rFonts w:ascii="Times New Roman" w:hAnsi="宋体" w:cs="Times New Roman" w:hint="eastAsia"/>
        </w:rPr>
        <w:t>，人员成本与上</w:t>
      </w:r>
      <w:r w:rsidR="00305BEF" w:rsidRPr="00AE2A7A">
        <w:rPr>
          <w:rFonts w:ascii="Times New Roman" w:hAnsi="宋体" w:cs="Times New Roman" w:hint="eastAsia"/>
        </w:rPr>
        <w:t>年</w:t>
      </w:r>
      <w:r w:rsidR="00211FAF">
        <w:rPr>
          <w:rFonts w:ascii="Times New Roman" w:hAnsi="宋体" w:cs="Times New Roman" w:hint="eastAsia"/>
        </w:rPr>
        <w:t>度</w:t>
      </w:r>
      <w:r w:rsidR="00305BEF" w:rsidRPr="00AE2A7A">
        <w:rPr>
          <w:rFonts w:ascii="Times New Roman" w:hAnsi="宋体" w:cs="Times New Roman" w:hint="eastAsia"/>
        </w:rPr>
        <w:t>相比</w:t>
      </w:r>
      <w:r w:rsidR="00AE2A7A" w:rsidRPr="00AE2A7A">
        <w:rPr>
          <w:rFonts w:ascii="Times New Roman" w:hAnsi="宋体" w:cs="Times New Roman" w:hint="eastAsia"/>
        </w:rPr>
        <w:t>明显增加</w:t>
      </w:r>
      <w:r w:rsidR="008B1059" w:rsidRPr="00AE2A7A">
        <w:rPr>
          <w:rFonts w:ascii="Times New Roman" w:hAnsi="宋体" w:cs="Times New Roman"/>
        </w:rPr>
        <w:t>。</w:t>
      </w:r>
    </w:p>
    <w:p w:rsidR="00500AE9" w:rsidRDefault="00500AE9" w:rsidP="0069230B">
      <w:pPr>
        <w:spacing w:beforeLines="50" w:afterLines="50"/>
        <w:rPr>
          <w:rFonts w:ascii="Times New Roman" w:hAnsi="Times New Roman" w:cs="Times New Roman"/>
        </w:rPr>
      </w:pPr>
    </w:p>
    <w:p w:rsidR="00913344" w:rsidRDefault="00913344" w:rsidP="0069230B">
      <w:pPr>
        <w:spacing w:beforeLines="50" w:afterLines="50"/>
        <w:rPr>
          <w:rFonts w:ascii="Times New Roman" w:hAnsi="Times New Roman" w:cs="Times New Roman"/>
        </w:rPr>
      </w:pPr>
    </w:p>
    <w:p w:rsidR="00913344" w:rsidRDefault="00913344" w:rsidP="0069230B">
      <w:pPr>
        <w:spacing w:beforeLines="50" w:afterLines="50"/>
        <w:rPr>
          <w:rFonts w:ascii="Times New Roman" w:hAnsi="Times New Roman" w:cs="Times New Roman"/>
        </w:rPr>
      </w:pPr>
    </w:p>
    <w:p w:rsidR="00913344" w:rsidRDefault="00913344" w:rsidP="0069230B">
      <w:pPr>
        <w:spacing w:beforeLines="50" w:afterLines="50"/>
        <w:rPr>
          <w:rFonts w:ascii="Times New Roman" w:hAnsi="Times New Roman" w:cs="Times New Roman"/>
        </w:rPr>
      </w:pPr>
    </w:p>
    <w:p w:rsidR="00913344" w:rsidRDefault="00913344" w:rsidP="0069230B">
      <w:pPr>
        <w:spacing w:beforeLines="50" w:afterLines="50"/>
        <w:rPr>
          <w:rFonts w:ascii="Times New Roman" w:hAnsi="Times New Roman" w:cs="Times New Roman"/>
        </w:rPr>
      </w:pPr>
    </w:p>
    <w:p w:rsidR="00913344" w:rsidRDefault="00913344" w:rsidP="0069230B">
      <w:pPr>
        <w:spacing w:beforeLines="50" w:afterLines="50"/>
        <w:rPr>
          <w:rFonts w:ascii="Times New Roman" w:hAnsi="Times New Roman" w:cs="Times New Roman"/>
        </w:rPr>
      </w:pPr>
    </w:p>
    <w:p w:rsidR="0081242F" w:rsidRPr="00B5759B" w:rsidRDefault="0081242F" w:rsidP="00D85FCE">
      <w:pPr>
        <w:spacing w:after="240"/>
        <w:jc w:val="center"/>
        <w:rPr>
          <w:rFonts w:ascii="Times New Roman" w:eastAsia="华文中宋" w:hAnsi="Times New Roman" w:cs="Times New Roman"/>
          <w:b/>
          <w:bCs/>
          <w:sz w:val="44"/>
        </w:rPr>
      </w:pPr>
      <w:r w:rsidRPr="00B5759B">
        <w:rPr>
          <w:rFonts w:ascii="Times New Roman" w:eastAsia="华文中宋" w:hAnsi="华文中宋" w:cs="Times New Roman"/>
          <w:b/>
          <w:bCs/>
          <w:sz w:val="44"/>
        </w:rPr>
        <w:lastRenderedPageBreak/>
        <w:t>最具成长性公司研究</w:t>
      </w:r>
    </w:p>
    <w:p w:rsidR="004B6F79" w:rsidRPr="00B5759B" w:rsidRDefault="004B6F79" w:rsidP="0069230B">
      <w:pPr>
        <w:spacing w:beforeLines="50" w:afterLines="50"/>
        <w:rPr>
          <w:rFonts w:ascii="Times New Roman" w:hAnsi="Times New Roman" w:cs="Times New Roman"/>
          <w:b/>
          <w:bCs/>
        </w:rPr>
      </w:pPr>
      <w:r w:rsidRPr="00B5759B">
        <w:rPr>
          <w:rFonts w:ascii="Times New Roman" w:hAnsi="宋体" w:cs="Times New Roman"/>
          <w:b/>
          <w:bCs/>
        </w:rPr>
        <w:t>营业情况：</w:t>
      </w:r>
    </w:p>
    <w:p w:rsidR="0081242F" w:rsidRPr="00B5759B" w:rsidRDefault="0081242F" w:rsidP="0069230B">
      <w:pPr>
        <w:numPr>
          <w:ilvl w:val="0"/>
          <w:numId w:val="1"/>
        </w:numPr>
        <w:spacing w:beforeLines="50" w:afterLines="50"/>
        <w:rPr>
          <w:rFonts w:ascii="Times New Roman" w:hAnsi="Times New Roman" w:cs="Times New Roman"/>
        </w:rPr>
      </w:pPr>
      <w:r w:rsidRPr="00B5759B">
        <w:rPr>
          <w:rFonts w:ascii="Times New Roman" w:hAnsi="宋体" w:cs="Times New Roman"/>
        </w:rPr>
        <w:t>最具成长性公司</w:t>
      </w:r>
      <w:r w:rsidR="005A137C" w:rsidRPr="00B5759B">
        <w:rPr>
          <w:rFonts w:ascii="Times New Roman" w:hAnsi="宋体" w:cs="Times New Roman"/>
        </w:rPr>
        <w:t>平均年营业额</w:t>
      </w:r>
      <w:r w:rsidR="005A137C">
        <w:rPr>
          <w:rFonts w:ascii="Times New Roman" w:hAnsi="Times New Roman" w:cs="Times New Roman" w:hint="eastAsia"/>
        </w:rPr>
        <w:t>12316</w:t>
      </w:r>
      <w:r w:rsidR="005A137C" w:rsidRPr="00B5759B">
        <w:rPr>
          <w:rFonts w:ascii="Times New Roman" w:hAnsi="宋体" w:cs="Times New Roman"/>
        </w:rPr>
        <w:t>万</w:t>
      </w:r>
      <w:r w:rsidR="005A137C" w:rsidRPr="00B5759B">
        <w:rPr>
          <w:rFonts w:ascii="Times New Roman" w:cs="Times New Roman"/>
          <w:bCs/>
        </w:rPr>
        <w:t>元，</w:t>
      </w:r>
      <w:r w:rsidRPr="00B5759B">
        <w:rPr>
          <w:rFonts w:ascii="Times New Roman" w:hAnsi="宋体" w:cs="Times New Roman"/>
        </w:rPr>
        <w:t>平均年营业</w:t>
      </w:r>
      <w:r w:rsidR="00C41A59">
        <w:rPr>
          <w:rFonts w:ascii="Times New Roman" w:hAnsi="宋体" w:cs="Times New Roman" w:hint="eastAsia"/>
        </w:rPr>
        <w:t>利润</w:t>
      </w:r>
      <w:r w:rsidR="008E484B">
        <w:rPr>
          <w:rFonts w:ascii="Times New Roman" w:hAnsi="Times New Roman" w:cs="Times New Roman" w:hint="eastAsia"/>
        </w:rPr>
        <w:t>4036</w:t>
      </w:r>
      <w:r w:rsidRPr="00B5759B">
        <w:rPr>
          <w:rFonts w:ascii="Times New Roman" w:hAnsi="宋体" w:cs="Times New Roman"/>
        </w:rPr>
        <w:t>万元，人均年</w:t>
      </w:r>
      <w:r w:rsidRPr="001477A0">
        <w:rPr>
          <w:rFonts w:ascii="Times New Roman" w:hAnsi="宋体" w:cs="Times New Roman"/>
        </w:rPr>
        <w:t>营业收入</w:t>
      </w:r>
      <w:r w:rsidRPr="00B5759B">
        <w:rPr>
          <w:rFonts w:ascii="Times New Roman" w:hAnsi="Times New Roman" w:cs="Times New Roman"/>
        </w:rPr>
        <w:t>4</w:t>
      </w:r>
      <w:r w:rsidR="008E484B">
        <w:rPr>
          <w:rFonts w:ascii="Times New Roman" w:hAnsi="Times New Roman" w:cs="Times New Roman" w:hint="eastAsia"/>
        </w:rPr>
        <w:t>3.2</w:t>
      </w:r>
      <w:r w:rsidRPr="00B5759B">
        <w:rPr>
          <w:rFonts w:ascii="Times New Roman" w:hAnsi="宋体" w:cs="Times New Roman"/>
        </w:rPr>
        <w:t>万元</w:t>
      </w:r>
      <w:r w:rsidRPr="00B5759B">
        <w:rPr>
          <w:rFonts w:ascii="Times New Roman" w:hAnsi="Times New Roman" w:cs="Times New Roman"/>
        </w:rPr>
        <w:t>/</w:t>
      </w:r>
      <w:r w:rsidRPr="00B5759B">
        <w:rPr>
          <w:rFonts w:ascii="Times New Roman" w:hAnsi="宋体" w:cs="Times New Roman"/>
        </w:rPr>
        <w:t>年</w:t>
      </w:r>
      <w:r w:rsidR="00B66F2A">
        <w:rPr>
          <w:rFonts w:ascii="Times New Roman" w:hAnsi="宋体" w:cs="Times New Roman" w:hint="eastAsia"/>
        </w:rPr>
        <w:t>；</w:t>
      </w:r>
    </w:p>
    <w:p w:rsidR="0081242F" w:rsidRPr="00B5759B" w:rsidRDefault="00A654EF" w:rsidP="0069230B">
      <w:pPr>
        <w:numPr>
          <w:ilvl w:val="0"/>
          <w:numId w:val="1"/>
        </w:numPr>
        <w:spacing w:beforeLines="50" w:afterLines="50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平均</w:t>
      </w:r>
      <w:r w:rsidR="0081242F" w:rsidRPr="00B5759B">
        <w:rPr>
          <w:rFonts w:ascii="Times New Roman" w:hAnsi="宋体" w:cs="Times New Roman"/>
        </w:rPr>
        <w:t>签约客户数</w:t>
      </w:r>
      <w:r w:rsidR="008E484B">
        <w:rPr>
          <w:rFonts w:ascii="Times New Roman" w:hAnsi="Times New Roman" w:cs="Times New Roman" w:hint="eastAsia"/>
        </w:rPr>
        <w:t>19</w:t>
      </w:r>
      <w:r>
        <w:rPr>
          <w:rFonts w:ascii="Times New Roman" w:hAnsi="Times New Roman" w:cs="Times New Roman" w:hint="eastAsia"/>
        </w:rPr>
        <w:t>个，</w:t>
      </w:r>
      <w:r w:rsidR="0081242F" w:rsidRPr="00B5759B">
        <w:rPr>
          <w:rFonts w:ascii="Times New Roman" w:hAnsi="宋体" w:cs="Times New Roman"/>
        </w:rPr>
        <w:t>日常代理客户比重占</w:t>
      </w:r>
      <w:r w:rsidR="008E484B">
        <w:rPr>
          <w:rFonts w:ascii="Times New Roman" w:hAnsi="Times New Roman" w:cs="Times New Roman" w:hint="eastAsia"/>
        </w:rPr>
        <w:t>77</w:t>
      </w:r>
      <w:r w:rsidR="0081242F" w:rsidRPr="00B5759B">
        <w:rPr>
          <w:rFonts w:ascii="Times New Roman" w:hAnsi="Times New Roman" w:cs="Times New Roman"/>
        </w:rPr>
        <w:t>%</w:t>
      </w:r>
      <w:r w:rsidR="00B66F2A">
        <w:rPr>
          <w:rFonts w:ascii="Times New Roman" w:hAnsi="宋体" w:cs="Times New Roman" w:hint="eastAsia"/>
        </w:rPr>
        <w:t>；</w:t>
      </w:r>
    </w:p>
    <w:p w:rsidR="0081242F" w:rsidRPr="00B5759B" w:rsidRDefault="0081242F" w:rsidP="0069230B">
      <w:pPr>
        <w:numPr>
          <w:ilvl w:val="0"/>
          <w:numId w:val="1"/>
        </w:numPr>
        <w:spacing w:beforeLines="50" w:afterLines="50"/>
        <w:rPr>
          <w:rFonts w:ascii="Times New Roman" w:hAnsi="Times New Roman" w:cs="Times New Roman"/>
        </w:rPr>
      </w:pPr>
      <w:r w:rsidRPr="00B5759B">
        <w:rPr>
          <w:rFonts w:ascii="Times New Roman" w:hAnsi="宋体" w:cs="Times New Roman"/>
        </w:rPr>
        <w:t>网络公关方面，主要提供</w:t>
      </w:r>
      <w:r w:rsidR="00AE71A2">
        <w:rPr>
          <w:rFonts w:ascii="Times New Roman" w:hAnsi="宋体" w:cs="Times New Roman" w:hint="eastAsia"/>
        </w:rPr>
        <w:t>产品推广、</w:t>
      </w:r>
      <w:r w:rsidRPr="00B5759B">
        <w:rPr>
          <w:rFonts w:ascii="Times New Roman" w:hAnsi="宋体" w:cs="Times New Roman"/>
        </w:rPr>
        <w:t>企业传播</w:t>
      </w:r>
      <w:r w:rsidR="008E484B">
        <w:rPr>
          <w:rFonts w:ascii="Times New Roman" w:hAnsi="宋体" w:cs="Times New Roman" w:hint="eastAsia"/>
        </w:rPr>
        <w:t>、事件营销</w:t>
      </w:r>
      <w:r w:rsidRPr="00B5759B">
        <w:rPr>
          <w:rFonts w:ascii="Times New Roman" w:hAnsi="宋体" w:cs="Times New Roman"/>
        </w:rPr>
        <w:t>及整合传播的业务。</w:t>
      </w:r>
    </w:p>
    <w:p w:rsidR="004B6F79" w:rsidRPr="00B5759B" w:rsidRDefault="004B6F79" w:rsidP="0069230B">
      <w:pPr>
        <w:spacing w:beforeLines="50" w:afterLines="50"/>
        <w:rPr>
          <w:rFonts w:ascii="Times New Roman" w:hAnsi="Times New Roman" w:cs="Times New Roman"/>
          <w:b/>
          <w:bCs/>
        </w:rPr>
      </w:pPr>
      <w:r w:rsidRPr="00B5759B">
        <w:rPr>
          <w:rFonts w:ascii="Times New Roman" w:hAnsi="宋体" w:cs="Times New Roman"/>
          <w:b/>
          <w:bCs/>
        </w:rPr>
        <w:t>运营管理：</w:t>
      </w:r>
    </w:p>
    <w:p w:rsidR="004B6F79" w:rsidRPr="00B5759B" w:rsidRDefault="004B6F79" w:rsidP="0069230B">
      <w:pPr>
        <w:pStyle w:val="a7"/>
        <w:numPr>
          <w:ilvl w:val="0"/>
          <w:numId w:val="4"/>
        </w:numPr>
        <w:spacing w:beforeLines="50" w:afterLines="50"/>
        <w:ind w:firstLineChars="0"/>
        <w:rPr>
          <w:rFonts w:ascii="Times New Roman" w:hAnsi="Times New Roman" w:cs="Times New Roman"/>
        </w:rPr>
      </w:pPr>
      <w:r w:rsidRPr="00B5759B">
        <w:rPr>
          <w:rFonts w:ascii="Times New Roman" w:hAnsi="宋体" w:cs="Times New Roman"/>
        </w:rPr>
        <w:t>年平均员工数</w:t>
      </w:r>
      <w:r w:rsidR="008E484B">
        <w:rPr>
          <w:rFonts w:ascii="Times New Roman" w:hAnsi="Times New Roman" w:cs="Times New Roman" w:hint="eastAsia"/>
        </w:rPr>
        <w:t>111</w:t>
      </w:r>
      <w:r w:rsidRPr="00B5759B">
        <w:rPr>
          <w:rFonts w:ascii="Times New Roman" w:hAnsi="宋体" w:cs="Times New Roman"/>
        </w:rPr>
        <w:t>人，管理团队平均人数</w:t>
      </w:r>
      <w:r w:rsidR="008E484B">
        <w:rPr>
          <w:rFonts w:ascii="Times New Roman" w:hAnsi="Times New Roman" w:cs="Times New Roman" w:hint="eastAsia"/>
        </w:rPr>
        <w:t>16</w:t>
      </w:r>
      <w:r w:rsidRPr="00B5759B">
        <w:rPr>
          <w:rFonts w:ascii="Times New Roman" w:hAnsi="宋体" w:cs="Times New Roman"/>
        </w:rPr>
        <w:t>人</w:t>
      </w:r>
      <w:r w:rsidR="00B66F2A">
        <w:rPr>
          <w:rFonts w:ascii="Times New Roman" w:hAnsi="宋体" w:cs="Times New Roman" w:hint="eastAsia"/>
        </w:rPr>
        <w:t>；</w:t>
      </w:r>
    </w:p>
    <w:p w:rsidR="004B6F79" w:rsidRPr="00B5759B" w:rsidRDefault="004B6F79" w:rsidP="0069230B">
      <w:pPr>
        <w:numPr>
          <w:ilvl w:val="0"/>
          <w:numId w:val="4"/>
        </w:numPr>
        <w:spacing w:beforeLines="50" w:afterLines="50"/>
        <w:rPr>
          <w:rFonts w:ascii="Times New Roman" w:hAnsi="Times New Roman" w:cs="Times New Roman"/>
        </w:rPr>
      </w:pPr>
      <w:r w:rsidRPr="00B5759B">
        <w:rPr>
          <w:rFonts w:ascii="Times New Roman" w:hAnsi="宋体" w:cs="Times New Roman"/>
        </w:rPr>
        <w:t>女性雇员</w:t>
      </w:r>
      <w:r w:rsidR="008E484B">
        <w:rPr>
          <w:rFonts w:ascii="Times New Roman" w:hAnsi="Times New Roman" w:cs="Times New Roman" w:hint="eastAsia"/>
        </w:rPr>
        <w:t>54</w:t>
      </w:r>
      <w:r w:rsidRPr="00B5759B">
        <w:rPr>
          <w:rFonts w:ascii="Times New Roman" w:hAnsi="Times New Roman" w:cs="Times New Roman"/>
        </w:rPr>
        <w:t>%</w:t>
      </w:r>
      <w:r w:rsidRPr="00B5759B">
        <w:rPr>
          <w:rFonts w:ascii="Times New Roman" w:hAnsi="宋体" w:cs="Times New Roman"/>
        </w:rPr>
        <w:t>，职业平均年龄维持在</w:t>
      </w:r>
      <w:r w:rsidRPr="00B5759B">
        <w:rPr>
          <w:rFonts w:ascii="Times New Roman" w:hAnsi="Times New Roman" w:cs="Times New Roman"/>
        </w:rPr>
        <w:t>2</w:t>
      </w:r>
      <w:r w:rsidR="006054B8">
        <w:rPr>
          <w:rFonts w:ascii="Times New Roman" w:hAnsi="Times New Roman" w:cs="Times New Roman" w:hint="eastAsia"/>
        </w:rPr>
        <w:t>9</w:t>
      </w:r>
      <w:r w:rsidRPr="00B5759B">
        <w:rPr>
          <w:rFonts w:ascii="Times New Roman" w:hAnsi="宋体" w:cs="Times New Roman"/>
        </w:rPr>
        <w:t>岁左右；平均留任时间为</w:t>
      </w:r>
      <w:r w:rsidRPr="00B5759B">
        <w:rPr>
          <w:rFonts w:ascii="Times New Roman" w:hAnsi="Times New Roman" w:cs="Times New Roman"/>
        </w:rPr>
        <w:t>2.</w:t>
      </w:r>
      <w:r w:rsidR="008E484B">
        <w:rPr>
          <w:rFonts w:ascii="Times New Roman" w:hAnsi="Times New Roman" w:cs="Times New Roman" w:hint="eastAsia"/>
        </w:rPr>
        <w:t>5</w:t>
      </w:r>
      <w:r w:rsidRPr="00B5759B">
        <w:rPr>
          <w:rFonts w:ascii="Times New Roman" w:hAnsi="宋体" w:cs="Times New Roman"/>
        </w:rPr>
        <w:t>年（人员流动率达到</w:t>
      </w:r>
      <w:r w:rsidR="008E484B">
        <w:rPr>
          <w:rFonts w:ascii="Times New Roman" w:hAnsi="Times New Roman" w:cs="Times New Roman" w:hint="eastAsia"/>
        </w:rPr>
        <w:t>26</w:t>
      </w:r>
      <w:r w:rsidRPr="00B5759B">
        <w:rPr>
          <w:rFonts w:ascii="Times New Roman" w:hAnsi="Times New Roman" w:cs="Times New Roman"/>
        </w:rPr>
        <w:t>%</w:t>
      </w:r>
      <w:r w:rsidRPr="00B5759B">
        <w:rPr>
          <w:rFonts w:ascii="Times New Roman" w:hAnsi="宋体" w:cs="Times New Roman"/>
        </w:rPr>
        <w:t>），周平均工作时数</w:t>
      </w:r>
      <w:r w:rsidRPr="00B5759B">
        <w:rPr>
          <w:rFonts w:ascii="Times New Roman" w:hAnsi="Times New Roman" w:cs="Times New Roman"/>
        </w:rPr>
        <w:t>4</w:t>
      </w:r>
      <w:r w:rsidR="00AE71A2">
        <w:rPr>
          <w:rFonts w:ascii="Times New Roman" w:hAnsi="Times New Roman" w:cs="Times New Roman" w:hint="eastAsia"/>
        </w:rPr>
        <w:t>5.</w:t>
      </w:r>
      <w:r w:rsidR="008E484B">
        <w:rPr>
          <w:rFonts w:ascii="Times New Roman" w:hAnsi="Times New Roman" w:cs="Times New Roman" w:hint="eastAsia"/>
        </w:rPr>
        <w:t>6</w:t>
      </w:r>
      <w:r w:rsidRPr="00B5759B">
        <w:rPr>
          <w:rFonts w:ascii="Times New Roman" w:hAnsi="宋体" w:cs="Times New Roman"/>
        </w:rPr>
        <w:t>小时</w:t>
      </w:r>
      <w:r w:rsidR="00B66F2A">
        <w:rPr>
          <w:rFonts w:ascii="Times New Roman" w:hAnsi="宋体" w:cs="Times New Roman" w:hint="eastAsia"/>
        </w:rPr>
        <w:t>；</w:t>
      </w:r>
    </w:p>
    <w:p w:rsidR="004B6F79" w:rsidRPr="00B5759B" w:rsidRDefault="004B6F79" w:rsidP="0069230B">
      <w:pPr>
        <w:numPr>
          <w:ilvl w:val="0"/>
          <w:numId w:val="4"/>
        </w:numPr>
        <w:spacing w:beforeLines="50" w:afterLines="50"/>
        <w:rPr>
          <w:rFonts w:ascii="Times New Roman" w:hAnsi="Times New Roman" w:cs="Times New Roman"/>
        </w:rPr>
      </w:pPr>
      <w:r w:rsidRPr="00B5759B">
        <w:rPr>
          <w:rFonts w:ascii="Times New Roman" w:hAnsi="宋体" w:cs="Times New Roman"/>
        </w:rPr>
        <w:t>年人均培训时数</w:t>
      </w:r>
      <w:r w:rsidR="00C41A59">
        <w:rPr>
          <w:rFonts w:ascii="Times New Roman" w:hAnsi="Times New Roman" w:cs="Times New Roman" w:hint="eastAsia"/>
        </w:rPr>
        <w:t>51.8</w:t>
      </w:r>
      <w:r w:rsidRPr="00B5759B">
        <w:rPr>
          <w:rFonts w:ascii="Times New Roman" w:hAnsi="宋体" w:cs="Times New Roman"/>
        </w:rPr>
        <w:t>，主要培训集中于专业技能、业务认知、岗位技能和业务管理等四个方面，一般通过内部业务交流、部门岗位培训和公司课程训练来解决</w:t>
      </w:r>
      <w:r w:rsidR="00B66F2A">
        <w:rPr>
          <w:rFonts w:ascii="Times New Roman" w:hAnsi="宋体" w:cs="Times New Roman" w:hint="eastAsia"/>
        </w:rPr>
        <w:t>；</w:t>
      </w:r>
    </w:p>
    <w:p w:rsidR="004B6F79" w:rsidRPr="00B5759B" w:rsidRDefault="00CE66F6" w:rsidP="0069230B">
      <w:pPr>
        <w:pStyle w:val="a7"/>
        <w:numPr>
          <w:ilvl w:val="0"/>
          <w:numId w:val="4"/>
        </w:numPr>
        <w:spacing w:beforeLines="50" w:afterLines="50"/>
        <w:ind w:firstLineChars="0"/>
        <w:rPr>
          <w:rFonts w:ascii="Times New Roman" w:hAnsi="Times New Roman" w:cs="Times New Roman"/>
        </w:rPr>
      </w:pPr>
      <w:r w:rsidRPr="00B5759B">
        <w:rPr>
          <w:rFonts w:ascii="Times New Roman" w:hAnsi="宋体" w:cs="Times New Roman"/>
        </w:rPr>
        <w:t>年平均工资水平为</w:t>
      </w:r>
      <w:r w:rsidR="00C41A59">
        <w:rPr>
          <w:rFonts w:ascii="Times New Roman" w:hAnsi="Times New Roman" w:cs="Times New Roman" w:hint="eastAsia"/>
        </w:rPr>
        <w:t>7855</w:t>
      </w:r>
      <w:r w:rsidRPr="00B5759B">
        <w:rPr>
          <w:rFonts w:ascii="Times New Roman" w:hAnsi="宋体" w:cs="Times New Roman"/>
        </w:rPr>
        <w:t>元</w:t>
      </w:r>
      <w:r w:rsidRPr="00B5759B">
        <w:rPr>
          <w:rFonts w:ascii="Times New Roman" w:hAnsi="Times New Roman" w:cs="Times New Roman"/>
        </w:rPr>
        <w:t>/</w:t>
      </w:r>
      <w:r w:rsidRPr="00B5759B">
        <w:rPr>
          <w:rFonts w:ascii="Times New Roman" w:hAnsi="宋体" w:cs="Times New Roman"/>
        </w:rPr>
        <w:t>月，客户经理平均月薪</w:t>
      </w:r>
      <w:r w:rsidR="00C41A59">
        <w:rPr>
          <w:rFonts w:ascii="Times New Roman" w:hAnsi="Times New Roman" w:cs="Times New Roman" w:hint="eastAsia"/>
        </w:rPr>
        <w:t>10710</w:t>
      </w:r>
      <w:r w:rsidRPr="00B5759B">
        <w:rPr>
          <w:rFonts w:ascii="Times New Roman" w:hAnsi="宋体" w:cs="Times New Roman"/>
        </w:rPr>
        <w:t>元，大学生转正平均月薪</w:t>
      </w:r>
      <w:r w:rsidR="00C41A59">
        <w:rPr>
          <w:rFonts w:ascii="Times New Roman" w:hAnsi="Times New Roman" w:cs="Times New Roman" w:hint="eastAsia"/>
        </w:rPr>
        <w:t>4080</w:t>
      </w:r>
      <w:r w:rsidRPr="00B5759B">
        <w:rPr>
          <w:rFonts w:ascii="Times New Roman" w:hAnsi="宋体" w:cs="Times New Roman"/>
        </w:rPr>
        <w:t>元。</w:t>
      </w:r>
    </w:p>
    <w:p w:rsidR="00E62EA8" w:rsidRPr="00BC0ECE" w:rsidRDefault="00E62EA8" w:rsidP="00D85FCE">
      <w:pPr>
        <w:spacing w:after="24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宋体" w:hAnsi="宋体"/>
          <w:b/>
        </w:rPr>
        <w:br w:type="page"/>
      </w:r>
      <w:r w:rsidRPr="00BC0ECE">
        <w:rPr>
          <w:rFonts w:ascii="Times New Roman" w:eastAsia="华文中宋" w:hAnsi="Times New Roman" w:cs="Times New Roman"/>
          <w:b/>
          <w:sz w:val="32"/>
          <w:szCs w:val="32"/>
        </w:rPr>
        <w:lastRenderedPageBreak/>
        <w:t>TOP</w:t>
      </w:r>
      <w:r w:rsidRPr="00BC0ECE">
        <w:rPr>
          <w:rFonts w:ascii="华文中宋" w:eastAsia="华文中宋" w:hAnsi="华文中宋" w:hint="eastAsia"/>
          <w:b/>
          <w:sz w:val="32"/>
          <w:szCs w:val="32"/>
        </w:rPr>
        <w:t>公司对照统计表</w:t>
      </w:r>
    </w:p>
    <w:tbl>
      <w:tblPr>
        <w:tblW w:w="8480" w:type="dxa"/>
        <w:tblInd w:w="93" w:type="dxa"/>
        <w:tblLook w:val="04A0"/>
      </w:tblPr>
      <w:tblGrid>
        <w:gridCol w:w="2300"/>
        <w:gridCol w:w="2060"/>
        <w:gridCol w:w="2060"/>
        <w:gridCol w:w="2060"/>
      </w:tblGrid>
      <w:tr w:rsidR="00355CCE" w:rsidRPr="00EF3848" w:rsidTr="00355CCE">
        <w:trPr>
          <w:trHeight w:val="8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jc w:val="righ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2014</w:t>
            </w:r>
            <w:r w:rsidR="00E11634" w:rsidRPr="00C91BC6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年</w:t>
            </w:r>
            <w:r w:rsidRPr="00C91BC6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（均值）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2013</w:t>
            </w:r>
            <w:r w:rsidR="00E11634" w:rsidRPr="00C91BC6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年</w:t>
            </w:r>
            <w:r w:rsidRPr="00C91BC6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（均值）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变量</w:t>
            </w:r>
          </w:p>
        </w:tc>
      </w:tr>
      <w:tr w:rsidR="005D4B19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5D4B19" w:rsidRPr="00EF3848" w:rsidRDefault="005D4B19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年营业额（万元）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B19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37127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B19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31142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B19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19.2%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年营业利润(万元)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16308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13583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20</w:t>
            </w:r>
            <w:r w:rsidR="00355CCE"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年增长率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19.1</w:t>
            </w:r>
            <w:r w:rsidR="00355CCE"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10.30%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8.8</w:t>
            </w:r>
            <w:r w:rsidR="00355CCE"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年人均营收（万元）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59.1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49.7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9.4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年签约客户数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5D4B1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 w:rsidR="005D4B19"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355CCE" w:rsidP="005D4B1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-1</w:t>
            </w:r>
            <w:r w:rsidR="005D4B19"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签约客户比重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5D4B1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6</w:t>
            </w:r>
            <w:r w:rsidR="005D4B19"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6</w:t>
            </w: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71.30%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355CCE" w:rsidP="005D4B1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-</w:t>
            </w:r>
            <w:r w:rsidR="005D4B19"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5</w:t>
            </w: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.30%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外资客户比重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48</w:t>
            </w:r>
            <w:r w:rsidR="00355CCE"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60.60%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-12.6</w:t>
            </w:r>
            <w:r w:rsidR="00355CCE"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年平均员工人数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管理团队人数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女性雇员比例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61%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62%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1%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员工平均年龄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28.9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0.1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人员流动率（%）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5D4B1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</w:t>
            </w:r>
            <w:r w:rsidR="005D4B19"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6</w:t>
            </w: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26.90%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5D4B19" w:rsidP="005D4B1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0</w:t>
            </w:r>
            <w:r w:rsidR="00355CCE"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.9%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平均留任时间（Y）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周劳动强度（H）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43.3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1.7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年培训时间（H）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-48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平均工资（元/月）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9445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8134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16.1%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客户经理工资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11060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10888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1.6%</w:t>
            </w:r>
          </w:p>
        </w:tc>
      </w:tr>
      <w:tr w:rsidR="00355CCE" w:rsidRPr="00EF3848" w:rsidTr="00355CC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55CCE" w:rsidRPr="00EF3848" w:rsidRDefault="00355CCE" w:rsidP="00355CC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F384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大学生转正工资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4114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CCE" w:rsidRPr="00C91BC6" w:rsidRDefault="00355CCE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3818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CCE" w:rsidRPr="00C91BC6" w:rsidRDefault="005D4B19" w:rsidP="00355C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91BC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7.8%</w:t>
            </w:r>
          </w:p>
        </w:tc>
      </w:tr>
    </w:tbl>
    <w:p w:rsidR="0064585B" w:rsidRDefault="0064585B" w:rsidP="00D85FCE">
      <w:pPr>
        <w:rPr>
          <w:rFonts w:ascii="Times New Roman" w:hAnsi="Times New Roman" w:cs="Times New Roman"/>
          <w:szCs w:val="21"/>
        </w:rPr>
      </w:pPr>
    </w:p>
    <w:p w:rsidR="00EF3848" w:rsidRDefault="00EF3848" w:rsidP="00DB41D5">
      <w:pPr>
        <w:spacing w:after="240"/>
        <w:jc w:val="center"/>
        <w:rPr>
          <w:rFonts w:ascii="华文中宋" w:eastAsia="华文中宋" w:hAnsi="华文中宋"/>
          <w:b/>
          <w:bCs/>
          <w:sz w:val="44"/>
        </w:rPr>
      </w:pPr>
    </w:p>
    <w:p w:rsidR="00DB41D5" w:rsidRPr="007A6053" w:rsidRDefault="00DB41D5" w:rsidP="00DB41D5">
      <w:pPr>
        <w:spacing w:after="240"/>
        <w:jc w:val="center"/>
        <w:rPr>
          <w:rFonts w:ascii="华文中宋" w:eastAsia="华文中宋" w:hAnsi="华文中宋"/>
          <w:b/>
          <w:bCs/>
          <w:sz w:val="44"/>
        </w:rPr>
      </w:pPr>
      <w:r w:rsidRPr="00C91BC6">
        <w:rPr>
          <w:rFonts w:ascii="Times New Roman" w:eastAsia="华文中宋" w:hAnsi="Times New Roman" w:cs="Times New Roman"/>
          <w:b/>
          <w:bCs/>
          <w:sz w:val="44"/>
        </w:rPr>
        <w:lastRenderedPageBreak/>
        <w:t>2014</w:t>
      </w:r>
      <w:r w:rsidRPr="007A6053">
        <w:rPr>
          <w:rFonts w:ascii="华文中宋" w:eastAsia="华文中宋" w:hAnsi="华文中宋" w:hint="eastAsia"/>
          <w:b/>
          <w:bCs/>
          <w:sz w:val="44"/>
        </w:rPr>
        <w:t>年中国公共关系行业发展分析</w:t>
      </w:r>
    </w:p>
    <w:p w:rsidR="00DB41D5" w:rsidRPr="00D63F7F" w:rsidRDefault="00DB41D5" w:rsidP="00D02886">
      <w:pPr>
        <w:spacing w:line="312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3F7F">
        <w:rPr>
          <w:rFonts w:ascii="Times New Roman" w:hAnsi="Times New Roman" w:cs="Times New Roman"/>
          <w:szCs w:val="21"/>
        </w:rPr>
        <w:t>2014</w:t>
      </w:r>
      <w:r w:rsidRPr="00D63F7F">
        <w:rPr>
          <w:rFonts w:ascii="Times New Roman" w:hAnsiTheme="minorEastAsia" w:cs="Times New Roman"/>
          <w:szCs w:val="21"/>
        </w:rPr>
        <w:t>年，中国公共关系市场保持稳定增长。据调查估算，整个市场的年营业规模约为</w:t>
      </w:r>
      <w:r w:rsidRPr="00D63F7F">
        <w:rPr>
          <w:rFonts w:ascii="Times New Roman" w:hAnsi="Times New Roman" w:cs="Times New Roman"/>
          <w:szCs w:val="21"/>
        </w:rPr>
        <w:t>380</w:t>
      </w:r>
      <w:r w:rsidRPr="00D63F7F">
        <w:rPr>
          <w:rFonts w:ascii="Times New Roman" w:hAnsiTheme="minorEastAsia" w:cs="Times New Roman"/>
          <w:szCs w:val="21"/>
        </w:rPr>
        <w:t>亿元人民币，年增长率为</w:t>
      </w:r>
      <w:r w:rsidRPr="00D63F7F">
        <w:rPr>
          <w:rFonts w:ascii="Times New Roman" w:hAnsi="Times New Roman" w:cs="Times New Roman"/>
          <w:szCs w:val="21"/>
        </w:rPr>
        <w:t>11.5%</w:t>
      </w:r>
      <w:r w:rsidRPr="00D63F7F">
        <w:rPr>
          <w:rFonts w:ascii="Times New Roman" w:hAnsiTheme="minorEastAsia" w:cs="Times New Roman"/>
          <w:szCs w:val="21"/>
        </w:rPr>
        <w:t>左右，比</w:t>
      </w:r>
      <w:r w:rsidRPr="00D63F7F">
        <w:rPr>
          <w:rFonts w:ascii="Times New Roman" w:hAnsi="Times New Roman" w:cs="Times New Roman"/>
          <w:szCs w:val="21"/>
        </w:rPr>
        <w:t>2013</w:t>
      </w:r>
      <w:r w:rsidRPr="00D63F7F">
        <w:rPr>
          <w:rFonts w:ascii="Times New Roman" w:hAnsiTheme="minorEastAsia" w:cs="Times New Roman"/>
          <w:szCs w:val="21"/>
        </w:rPr>
        <w:t>年</w:t>
      </w:r>
      <w:r w:rsidRPr="00D63F7F">
        <w:rPr>
          <w:rFonts w:ascii="Times New Roman" w:hAnsi="Times New Roman" w:cs="Times New Roman"/>
          <w:szCs w:val="21"/>
        </w:rPr>
        <w:t>12.5%</w:t>
      </w:r>
      <w:r w:rsidRPr="00D63F7F">
        <w:rPr>
          <w:rFonts w:ascii="Times New Roman" w:hAnsiTheme="minorEastAsia" w:cs="Times New Roman"/>
          <w:szCs w:val="21"/>
        </w:rPr>
        <w:t>的增速略有下降。调查显示，</w:t>
      </w:r>
      <w:r w:rsidRPr="00D63F7F">
        <w:rPr>
          <w:rFonts w:ascii="Times New Roman" w:hAnsi="Times New Roman" w:cs="Times New Roman"/>
          <w:szCs w:val="21"/>
        </w:rPr>
        <w:t>2014</w:t>
      </w:r>
      <w:r w:rsidRPr="00D63F7F">
        <w:rPr>
          <w:rFonts w:ascii="Times New Roman" w:hAnsiTheme="minorEastAsia" w:cs="Times New Roman"/>
          <w:szCs w:val="21"/>
        </w:rPr>
        <w:t>年度</w:t>
      </w:r>
      <w:r w:rsidR="006425E1" w:rsidRPr="00D63F7F">
        <w:rPr>
          <w:rFonts w:ascii="Times New Roman" w:hAnsiTheme="minorEastAsia" w:cs="Times New Roman" w:hint="eastAsia"/>
          <w:szCs w:val="21"/>
        </w:rPr>
        <w:t>以蓝色光标为代表的</w:t>
      </w:r>
      <w:r w:rsidRPr="00D63F7F">
        <w:rPr>
          <w:rFonts w:ascii="Times New Roman" w:hAnsi="Times New Roman" w:cs="Times New Roman"/>
          <w:szCs w:val="21"/>
        </w:rPr>
        <w:t>TOP25</w:t>
      </w:r>
      <w:r w:rsidRPr="00D63F7F">
        <w:rPr>
          <w:rFonts w:ascii="Times New Roman" w:hAnsiTheme="minorEastAsia" w:cs="Times New Roman"/>
          <w:szCs w:val="21"/>
        </w:rPr>
        <w:t>公司的年营业额、年营业利润分别比上一年增长了</w:t>
      </w:r>
      <w:r w:rsidRPr="00D63F7F">
        <w:rPr>
          <w:rFonts w:ascii="Times New Roman" w:hAnsi="Times New Roman" w:cs="Times New Roman"/>
          <w:szCs w:val="21"/>
        </w:rPr>
        <w:t>19.2%</w:t>
      </w:r>
      <w:r w:rsidRPr="00D63F7F">
        <w:rPr>
          <w:rFonts w:ascii="Times New Roman" w:hAnsiTheme="minorEastAsia" w:cs="Times New Roman"/>
          <w:szCs w:val="21"/>
        </w:rPr>
        <w:t>和</w:t>
      </w:r>
      <w:r w:rsidRPr="00D63F7F">
        <w:rPr>
          <w:rFonts w:ascii="Times New Roman" w:hAnsi="Times New Roman" w:cs="Times New Roman"/>
          <w:szCs w:val="21"/>
        </w:rPr>
        <w:t>20%</w:t>
      </w:r>
      <w:r w:rsidRPr="00D63F7F">
        <w:rPr>
          <w:rFonts w:ascii="Times New Roman" w:hAnsiTheme="minorEastAsia" w:cs="Times New Roman"/>
          <w:szCs w:val="21"/>
        </w:rPr>
        <w:t>，呈现</w:t>
      </w:r>
      <w:r w:rsidR="0040423B" w:rsidRPr="00D63F7F">
        <w:rPr>
          <w:rFonts w:ascii="Times New Roman" w:hAnsiTheme="minorEastAsia" w:cs="Times New Roman" w:hint="eastAsia"/>
          <w:szCs w:val="21"/>
        </w:rPr>
        <w:t>较快的</w:t>
      </w:r>
      <w:r w:rsidRPr="00D63F7F">
        <w:rPr>
          <w:rFonts w:ascii="Times New Roman" w:hAnsiTheme="minorEastAsia" w:cs="Times New Roman"/>
          <w:szCs w:val="21"/>
        </w:rPr>
        <w:t>增长态势。</w:t>
      </w:r>
    </w:p>
    <w:p w:rsidR="00DB41D5" w:rsidRPr="00D63F7F" w:rsidRDefault="00DB41D5" w:rsidP="00D02886">
      <w:pPr>
        <w:spacing w:line="312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3F7F">
        <w:rPr>
          <w:rFonts w:ascii="Times New Roman" w:hAnsiTheme="minorEastAsia" w:cs="Times New Roman"/>
          <w:szCs w:val="21"/>
        </w:rPr>
        <w:t>随着新媒体的不断发展，公共关系业务的结构性变化日益凸显。传统公关业务增速放缓，新兴公关业务（如数字化传播、新媒体营销等）发展迅猛。作为新兴产业的公共关系行业，其成长速度仍高于整体经济发展的增速。</w:t>
      </w:r>
    </w:p>
    <w:p w:rsidR="00DB41D5" w:rsidRPr="00D63F7F" w:rsidRDefault="00DB41D5" w:rsidP="00135358">
      <w:pPr>
        <w:spacing w:line="312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135358">
        <w:rPr>
          <w:rFonts w:ascii="Times New Roman" w:hAnsiTheme="minorEastAsia" w:cs="Times New Roman"/>
          <w:b/>
          <w:szCs w:val="21"/>
        </w:rPr>
        <w:t>一、</w:t>
      </w:r>
      <w:r w:rsidR="00135358" w:rsidRPr="00135358">
        <w:rPr>
          <w:rFonts w:ascii="Times New Roman" w:hAnsiTheme="minorEastAsia" w:cs="Times New Roman" w:hint="eastAsia"/>
          <w:b/>
          <w:szCs w:val="21"/>
        </w:rPr>
        <w:t>医疗保健首次进入公关服务领域前三位。</w:t>
      </w:r>
      <w:r w:rsidRPr="00D63F7F">
        <w:rPr>
          <w:rFonts w:ascii="Times New Roman" w:hAnsiTheme="minorEastAsia" w:cs="Times New Roman"/>
          <w:szCs w:val="21"/>
        </w:rPr>
        <w:t>调查显示，</w:t>
      </w:r>
      <w:r w:rsidRPr="00D63F7F">
        <w:rPr>
          <w:rFonts w:ascii="Times New Roman" w:hAnsi="Times New Roman" w:cs="Times New Roman"/>
          <w:szCs w:val="21"/>
        </w:rPr>
        <w:t>2014</w:t>
      </w:r>
      <w:r w:rsidRPr="00D63F7F">
        <w:rPr>
          <w:rFonts w:ascii="Times New Roman" w:hAnsiTheme="minorEastAsia" w:cs="Times New Roman"/>
          <w:szCs w:val="21"/>
        </w:rPr>
        <w:t>年度中国公共关系服务市场的前</w:t>
      </w:r>
      <w:r w:rsidRPr="00D63F7F">
        <w:rPr>
          <w:rFonts w:ascii="Times New Roman" w:hAnsi="Times New Roman" w:cs="Times New Roman"/>
          <w:szCs w:val="21"/>
        </w:rPr>
        <w:t>5</w:t>
      </w:r>
      <w:r w:rsidRPr="00D63F7F">
        <w:rPr>
          <w:rFonts w:ascii="Times New Roman" w:hAnsiTheme="minorEastAsia" w:cs="Times New Roman"/>
          <w:szCs w:val="21"/>
        </w:rPr>
        <w:t>位为汽车（</w:t>
      </w:r>
      <w:r w:rsidRPr="00D63F7F">
        <w:rPr>
          <w:rFonts w:ascii="Times New Roman" w:hAnsi="Times New Roman" w:cs="Times New Roman"/>
          <w:szCs w:val="21"/>
        </w:rPr>
        <w:t>26.9%</w:t>
      </w:r>
      <w:r w:rsidRPr="00D63F7F">
        <w:rPr>
          <w:rFonts w:ascii="Times New Roman" w:hAnsiTheme="minorEastAsia" w:cs="Times New Roman"/>
          <w:szCs w:val="21"/>
        </w:rPr>
        <w:t>）、快速消费品（</w:t>
      </w:r>
      <w:r w:rsidRPr="00D63F7F">
        <w:rPr>
          <w:rFonts w:ascii="Times New Roman" w:hAnsi="Times New Roman" w:cs="Times New Roman"/>
          <w:szCs w:val="21"/>
        </w:rPr>
        <w:t>14.1%</w:t>
      </w:r>
      <w:r w:rsidRPr="00D63F7F">
        <w:rPr>
          <w:rFonts w:ascii="Times New Roman" w:hAnsiTheme="minorEastAsia" w:cs="Times New Roman"/>
          <w:szCs w:val="21"/>
        </w:rPr>
        <w:t>）、医疗保健（</w:t>
      </w:r>
      <w:r w:rsidRPr="00D63F7F">
        <w:rPr>
          <w:rFonts w:ascii="Times New Roman" w:hAnsi="Times New Roman" w:cs="Times New Roman"/>
          <w:szCs w:val="21"/>
        </w:rPr>
        <w:t>10%</w:t>
      </w:r>
      <w:r w:rsidRPr="00D63F7F">
        <w:rPr>
          <w:rFonts w:ascii="Times New Roman" w:hAnsiTheme="minorEastAsia" w:cs="Times New Roman"/>
          <w:szCs w:val="21"/>
        </w:rPr>
        <w:t>）、通讯（</w:t>
      </w:r>
      <w:r w:rsidRPr="00D63F7F">
        <w:rPr>
          <w:rFonts w:ascii="Times New Roman" w:hAnsi="Times New Roman" w:cs="Times New Roman"/>
          <w:szCs w:val="21"/>
        </w:rPr>
        <w:t>7.7%</w:t>
      </w:r>
      <w:r w:rsidRPr="00D63F7F">
        <w:rPr>
          <w:rFonts w:ascii="Times New Roman" w:hAnsiTheme="minorEastAsia" w:cs="Times New Roman"/>
          <w:szCs w:val="21"/>
        </w:rPr>
        <w:t>）、互联网（</w:t>
      </w:r>
      <w:r w:rsidRPr="00D63F7F">
        <w:rPr>
          <w:rFonts w:ascii="Times New Roman" w:hAnsi="Times New Roman" w:cs="Times New Roman"/>
          <w:szCs w:val="21"/>
        </w:rPr>
        <w:t>5.4%</w:t>
      </w:r>
      <w:r w:rsidRPr="00D63F7F">
        <w:rPr>
          <w:rFonts w:ascii="Times New Roman" w:hAnsiTheme="minorEastAsia" w:cs="Times New Roman"/>
          <w:szCs w:val="21"/>
        </w:rPr>
        <w:t>），与</w:t>
      </w:r>
      <w:r w:rsidRPr="00D63F7F">
        <w:rPr>
          <w:rFonts w:ascii="Times New Roman" w:hAnsi="Times New Roman" w:cs="Times New Roman"/>
          <w:szCs w:val="21"/>
        </w:rPr>
        <w:t>2013</w:t>
      </w:r>
      <w:r w:rsidRPr="00D63F7F">
        <w:rPr>
          <w:rFonts w:ascii="Times New Roman" w:hAnsiTheme="minorEastAsia" w:cs="Times New Roman"/>
          <w:szCs w:val="21"/>
        </w:rPr>
        <w:t>年相比，汽车、快速消费品市场比例没有太大变化，依然占据行业的前两位，但医疗保健</w:t>
      </w:r>
      <w:r w:rsidR="00026C56" w:rsidRPr="00D63F7F">
        <w:rPr>
          <w:rFonts w:ascii="Times New Roman" w:hAnsiTheme="minorEastAsia" w:cs="Times New Roman" w:hint="eastAsia"/>
          <w:szCs w:val="21"/>
        </w:rPr>
        <w:t>（</w:t>
      </w:r>
      <w:r w:rsidR="00026C56" w:rsidRPr="00D63F7F">
        <w:rPr>
          <w:rFonts w:ascii="Times New Roman" w:hAnsiTheme="minorEastAsia" w:cs="Times New Roman" w:hint="eastAsia"/>
          <w:szCs w:val="21"/>
        </w:rPr>
        <w:t>2013</w:t>
      </w:r>
      <w:r w:rsidR="00026C56" w:rsidRPr="00D63F7F">
        <w:rPr>
          <w:rFonts w:ascii="Times New Roman" w:hAnsiTheme="minorEastAsia" w:cs="Times New Roman" w:hint="eastAsia"/>
          <w:szCs w:val="21"/>
        </w:rPr>
        <w:t>年占</w:t>
      </w:r>
      <w:r w:rsidR="00026C56" w:rsidRPr="00D63F7F">
        <w:rPr>
          <w:rFonts w:ascii="Times New Roman" w:hAnsiTheme="minorEastAsia" w:cs="Times New Roman" w:hint="eastAsia"/>
          <w:szCs w:val="21"/>
        </w:rPr>
        <w:t>3.3%</w:t>
      </w:r>
      <w:r w:rsidR="00026C56" w:rsidRPr="00D63F7F">
        <w:rPr>
          <w:rFonts w:ascii="Times New Roman" w:hAnsiTheme="minorEastAsia" w:cs="Times New Roman"/>
          <w:szCs w:val="21"/>
        </w:rPr>
        <w:t>）</w:t>
      </w:r>
      <w:r w:rsidRPr="00D63F7F">
        <w:rPr>
          <w:rFonts w:ascii="Times New Roman" w:hAnsiTheme="minorEastAsia" w:cs="Times New Roman"/>
          <w:szCs w:val="21"/>
        </w:rPr>
        <w:t>和互联网</w:t>
      </w:r>
      <w:r w:rsidR="00026C56" w:rsidRPr="00D63F7F">
        <w:rPr>
          <w:rFonts w:ascii="Times New Roman" w:hAnsiTheme="minorEastAsia" w:cs="Times New Roman"/>
          <w:szCs w:val="21"/>
        </w:rPr>
        <w:t>行业</w:t>
      </w:r>
      <w:r w:rsidR="00026C56" w:rsidRPr="00D63F7F">
        <w:rPr>
          <w:rFonts w:ascii="Times New Roman" w:hAnsiTheme="minorEastAsia" w:cs="Times New Roman" w:hint="eastAsia"/>
          <w:szCs w:val="21"/>
        </w:rPr>
        <w:t>(2013</w:t>
      </w:r>
      <w:r w:rsidR="00026C56" w:rsidRPr="00D63F7F">
        <w:rPr>
          <w:rFonts w:ascii="Times New Roman" w:hAnsiTheme="minorEastAsia" w:cs="Times New Roman" w:hint="eastAsia"/>
          <w:szCs w:val="21"/>
        </w:rPr>
        <w:t>年占</w:t>
      </w:r>
      <w:r w:rsidR="00026C56" w:rsidRPr="00D63F7F">
        <w:rPr>
          <w:rFonts w:ascii="Times New Roman" w:hAnsiTheme="minorEastAsia" w:cs="Times New Roman" w:hint="eastAsia"/>
          <w:szCs w:val="21"/>
        </w:rPr>
        <w:t>3.2%)</w:t>
      </w:r>
      <w:r w:rsidRPr="00D63F7F">
        <w:rPr>
          <w:rFonts w:ascii="Times New Roman" w:hAnsiTheme="minorEastAsia" w:cs="Times New Roman"/>
          <w:szCs w:val="21"/>
        </w:rPr>
        <w:t>所占比例增长较快，尤其是医疗保健发展迅猛，表明</w:t>
      </w:r>
      <w:r w:rsidR="00B34A20">
        <w:rPr>
          <w:rFonts w:ascii="Times New Roman" w:hAnsiTheme="minorEastAsia" w:cs="Times New Roman" w:hint="eastAsia"/>
          <w:szCs w:val="21"/>
        </w:rPr>
        <w:t>了该行业的公关支出在急剧增长</w:t>
      </w:r>
      <w:r w:rsidRPr="00D63F7F">
        <w:rPr>
          <w:rFonts w:ascii="Times New Roman" w:hAnsiTheme="minorEastAsia" w:cs="Times New Roman"/>
          <w:szCs w:val="21"/>
        </w:rPr>
        <w:t>。</w:t>
      </w:r>
    </w:p>
    <w:p w:rsidR="00DB41D5" w:rsidRPr="00D63F7F" w:rsidRDefault="00DB41D5" w:rsidP="00135358">
      <w:pPr>
        <w:spacing w:line="312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135358">
        <w:rPr>
          <w:rFonts w:ascii="Times New Roman" w:hAnsiTheme="minorEastAsia" w:cs="Times New Roman"/>
          <w:b/>
          <w:szCs w:val="21"/>
        </w:rPr>
        <w:t>二、新媒体环境对公共关系市场影响越来越大。</w:t>
      </w:r>
      <w:r w:rsidRPr="00D63F7F">
        <w:rPr>
          <w:rFonts w:ascii="Times New Roman" w:hAnsiTheme="minorEastAsia" w:cs="Times New Roman"/>
          <w:szCs w:val="21"/>
        </w:rPr>
        <w:t>随着新媒体时代的</w:t>
      </w:r>
      <w:r w:rsidR="00FF10FC">
        <w:rPr>
          <w:rFonts w:ascii="Times New Roman" w:hAnsiTheme="minorEastAsia" w:cs="Times New Roman" w:hint="eastAsia"/>
          <w:szCs w:val="21"/>
        </w:rPr>
        <w:t>来临</w:t>
      </w:r>
      <w:r w:rsidRPr="00D63F7F">
        <w:rPr>
          <w:rFonts w:ascii="Times New Roman" w:hAnsiTheme="minorEastAsia" w:cs="Times New Roman"/>
          <w:szCs w:val="21"/>
        </w:rPr>
        <w:t>，一些从事传统业务的公关公司不断转型，</w:t>
      </w:r>
      <w:r w:rsidR="00FF10FC">
        <w:rPr>
          <w:rFonts w:ascii="Times New Roman" w:hAnsiTheme="minorEastAsia" w:cs="Times New Roman" w:hint="eastAsia"/>
          <w:szCs w:val="21"/>
        </w:rPr>
        <w:t>逐步</w:t>
      </w:r>
      <w:r w:rsidRPr="00D63F7F">
        <w:rPr>
          <w:rFonts w:ascii="Times New Roman" w:hAnsiTheme="minorEastAsia" w:cs="Times New Roman"/>
          <w:szCs w:val="21"/>
        </w:rPr>
        <w:t>涉足数字化传播及营销、大数据营销等领域。调查显示，网络公关、传播代理及媒体执行为行业内主营业务，而传统的顾问咨询类业务大幅下降。在整个市场中，新媒体业务占公关总体业务的</w:t>
      </w:r>
      <w:r w:rsidRPr="00D63F7F">
        <w:rPr>
          <w:rFonts w:ascii="Times New Roman" w:hAnsi="Times New Roman" w:cs="Times New Roman"/>
          <w:szCs w:val="21"/>
        </w:rPr>
        <w:t>30.3%</w:t>
      </w:r>
      <w:r w:rsidRPr="00D63F7F">
        <w:rPr>
          <w:rFonts w:ascii="Times New Roman" w:hAnsiTheme="minorEastAsia" w:cs="Times New Roman"/>
          <w:szCs w:val="21"/>
        </w:rPr>
        <w:t>，网络公关的收入占总营业收入的</w:t>
      </w:r>
      <w:r w:rsidRPr="00D63F7F">
        <w:rPr>
          <w:rFonts w:ascii="Times New Roman" w:hAnsi="Times New Roman" w:cs="Times New Roman"/>
          <w:szCs w:val="21"/>
        </w:rPr>
        <w:t>26.6%</w:t>
      </w:r>
      <w:r w:rsidRPr="00D63F7F">
        <w:rPr>
          <w:rFonts w:ascii="Times New Roman" w:hAnsiTheme="minorEastAsia" w:cs="Times New Roman"/>
          <w:szCs w:val="21"/>
        </w:rPr>
        <w:t>。这表明随着新媒体时代的不断发展，新兴公关业务需求正在不断增加。</w:t>
      </w:r>
    </w:p>
    <w:p w:rsidR="00DB41D5" w:rsidRPr="00D63F7F" w:rsidRDefault="00DB41D5" w:rsidP="00135358">
      <w:pPr>
        <w:spacing w:line="312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135358">
        <w:rPr>
          <w:rFonts w:ascii="Times New Roman" w:hAnsiTheme="minorEastAsia" w:cs="Times New Roman"/>
          <w:b/>
          <w:szCs w:val="21"/>
        </w:rPr>
        <w:t>三、人</w:t>
      </w:r>
      <w:r w:rsidR="00C0183D" w:rsidRPr="00135358">
        <w:rPr>
          <w:rFonts w:ascii="Times New Roman" w:hAnsiTheme="minorEastAsia" w:cs="Times New Roman" w:hint="eastAsia"/>
          <w:b/>
          <w:szCs w:val="21"/>
        </w:rPr>
        <w:t>员</w:t>
      </w:r>
      <w:r w:rsidRPr="00135358">
        <w:rPr>
          <w:rFonts w:ascii="Times New Roman" w:hAnsiTheme="minorEastAsia" w:cs="Times New Roman"/>
          <w:b/>
          <w:szCs w:val="21"/>
        </w:rPr>
        <w:t>成本增加给公关公司带来一定压力。</w:t>
      </w:r>
      <w:r w:rsidRPr="00D63F7F">
        <w:rPr>
          <w:rFonts w:ascii="Times New Roman" w:hAnsiTheme="minorEastAsia" w:cs="Times New Roman"/>
          <w:szCs w:val="21"/>
        </w:rPr>
        <w:t>调查显示，</w:t>
      </w:r>
      <w:r w:rsidRPr="00D63F7F">
        <w:rPr>
          <w:rFonts w:ascii="Times New Roman" w:hAnsi="Times New Roman" w:cs="Times New Roman"/>
          <w:szCs w:val="21"/>
        </w:rPr>
        <w:t>2014</w:t>
      </w:r>
      <w:r w:rsidRPr="00D63F7F">
        <w:rPr>
          <w:rFonts w:ascii="Times New Roman" w:hAnsiTheme="minorEastAsia" w:cs="Times New Roman"/>
          <w:szCs w:val="21"/>
        </w:rPr>
        <w:t>年行业平均工资水平为</w:t>
      </w:r>
      <w:r w:rsidRPr="00D63F7F">
        <w:rPr>
          <w:rFonts w:ascii="Times New Roman" w:hAnsi="Times New Roman" w:cs="Times New Roman"/>
          <w:szCs w:val="21"/>
        </w:rPr>
        <w:t>9445</w:t>
      </w:r>
      <w:r w:rsidRPr="00D63F7F">
        <w:rPr>
          <w:rFonts w:ascii="Times New Roman" w:hAnsiTheme="minorEastAsia" w:cs="Times New Roman"/>
          <w:szCs w:val="21"/>
        </w:rPr>
        <w:t>元</w:t>
      </w:r>
      <w:r w:rsidRPr="00D63F7F">
        <w:rPr>
          <w:rFonts w:ascii="Times New Roman" w:hAnsi="Times New Roman" w:cs="Times New Roman"/>
          <w:szCs w:val="21"/>
        </w:rPr>
        <w:t>/</w:t>
      </w:r>
      <w:r w:rsidRPr="00D63F7F">
        <w:rPr>
          <w:rFonts w:ascii="Times New Roman" w:hAnsiTheme="minorEastAsia" w:cs="Times New Roman"/>
          <w:szCs w:val="21"/>
        </w:rPr>
        <w:t>月，比</w:t>
      </w:r>
      <w:r w:rsidRPr="00D63F7F">
        <w:rPr>
          <w:rFonts w:ascii="Times New Roman" w:hAnsi="Times New Roman" w:cs="Times New Roman"/>
          <w:szCs w:val="21"/>
        </w:rPr>
        <w:t>2013</w:t>
      </w:r>
      <w:r w:rsidRPr="00D63F7F">
        <w:rPr>
          <w:rFonts w:ascii="Times New Roman" w:hAnsiTheme="minorEastAsia" w:cs="Times New Roman"/>
          <w:szCs w:val="21"/>
        </w:rPr>
        <w:t>年增加了</w:t>
      </w:r>
      <w:r w:rsidRPr="00D63F7F">
        <w:rPr>
          <w:rFonts w:ascii="Times New Roman" w:hAnsi="Times New Roman" w:cs="Times New Roman"/>
          <w:szCs w:val="21"/>
        </w:rPr>
        <w:t>16.1%</w:t>
      </w:r>
      <w:r w:rsidRPr="00D63F7F">
        <w:rPr>
          <w:rFonts w:ascii="Times New Roman" w:hAnsiTheme="minorEastAsia" w:cs="Times New Roman"/>
          <w:szCs w:val="21"/>
        </w:rPr>
        <w:t>。客户经理平均月薪</w:t>
      </w:r>
      <w:r w:rsidRPr="00D63F7F">
        <w:rPr>
          <w:rFonts w:ascii="Times New Roman" w:hAnsi="Times New Roman" w:cs="Times New Roman"/>
          <w:szCs w:val="21"/>
        </w:rPr>
        <w:t>11060</w:t>
      </w:r>
      <w:r w:rsidRPr="00D63F7F">
        <w:rPr>
          <w:rFonts w:ascii="Times New Roman" w:hAnsiTheme="minorEastAsia" w:cs="Times New Roman"/>
          <w:szCs w:val="21"/>
        </w:rPr>
        <w:t>元，比</w:t>
      </w:r>
      <w:r w:rsidRPr="00D63F7F">
        <w:rPr>
          <w:rFonts w:ascii="Times New Roman" w:hAnsi="Times New Roman" w:cs="Times New Roman"/>
          <w:szCs w:val="21"/>
        </w:rPr>
        <w:t>2013</w:t>
      </w:r>
      <w:r w:rsidRPr="00D63F7F">
        <w:rPr>
          <w:rFonts w:ascii="Times New Roman" w:hAnsiTheme="minorEastAsia" w:cs="Times New Roman"/>
          <w:szCs w:val="21"/>
        </w:rPr>
        <w:t>年增加</w:t>
      </w:r>
      <w:r w:rsidRPr="00D63F7F">
        <w:rPr>
          <w:rFonts w:ascii="Times New Roman" w:hAnsi="Times New Roman" w:cs="Times New Roman"/>
          <w:szCs w:val="21"/>
        </w:rPr>
        <w:t>1.6%</w:t>
      </w:r>
      <w:r w:rsidRPr="00D63F7F">
        <w:rPr>
          <w:rFonts w:ascii="Times New Roman" w:hAnsiTheme="minorEastAsia" w:cs="Times New Roman"/>
          <w:szCs w:val="21"/>
        </w:rPr>
        <w:t>，大学生转正平均月薪</w:t>
      </w:r>
      <w:r w:rsidRPr="00D63F7F">
        <w:rPr>
          <w:rFonts w:ascii="Times New Roman" w:hAnsi="Times New Roman" w:cs="Times New Roman"/>
          <w:szCs w:val="21"/>
        </w:rPr>
        <w:t>4114</w:t>
      </w:r>
      <w:r w:rsidRPr="00D63F7F">
        <w:rPr>
          <w:rFonts w:ascii="Times New Roman" w:hAnsiTheme="minorEastAsia" w:cs="Times New Roman"/>
          <w:szCs w:val="21"/>
        </w:rPr>
        <w:t>元，比</w:t>
      </w:r>
      <w:r w:rsidRPr="00D63F7F">
        <w:rPr>
          <w:rFonts w:ascii="Times New Roman" w:hAnsi="Times New Roman" w:cs="Times New Roman"/>
          <w:szCs w:val="21"/>
        </w:rPr>
        <w:t>2013</w:t>
      </w:r>
      <w:r w:rsidRPr="00D63F7F">
        <w:rPr>
          <w:rFonts w:ascii="Times New Roman" w:hAnsiTheme="minorEastAsia" w:cs="Times New Roman"/>
          <w:szCs w:val="21"/>
        </w:rPr>
        <w:t>年增加了</w:t>
      </w:r>
      <w:r w:rsidRPr="00D63F7F">
        <w:rPr>
          <w:rFonts w:ascii="Times New Roman" w:hAnsi="Times New Roman" w:cs="Times New Roman"/>
          <w:szCs w:val="21"/>
        </w:rPr>
        <w:t>7.8%</w:t>
      </w:r>
      <w:r w:rsidRPr="00D63F7F">
        <w:rPr>
          <w:rFonts w:ascii="Times New Roman" w:hAnsiTheme="minorEastAsia" w:cs="Times New Roman"/>
          <w:szCs w:val="21"/>
        </w:rPr>
        <w:t>，人员成本与上年度相比明显增加。另外，随着房租价格的上涨，公关公司面临一定的压力。</w:t>
      </w:r>
    </w:p>
    <w:p w:rsidR="00DB41D5" w:rsidRPr="00D63F7F" w:rsidRDefault="00DB41D5" w:rsidP="00135358">
      <w:pPr>
        <w:spacing w:line="312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135358">
        <w:rPr>
          <w:rFonts w:ascii="Times New Roman" w:hAnsiTheme="minorEastAsia" w:cs="Times New Roman"/>
          <w:b/>
          <w:szCs w:val="21"/>
        </w:rPr>
        <w:t>四、国际公关公司在中国的业务</w:t>
      </w:r>
      <w:r w:rsidR="00B96029">
        <w:rPr>
          <w:rFonts w:ascii="Times New Roman" w:hAnsiTheme="minorEastAsia" w:cs="Times New Roman" w:hint="eastAsia"/>
          <w:b/>
          <w:szCs w:val="21"/>
        </w:rPr>
        <w:t>保持了</w:t>
      </w:r>
      <w:r w:rsidRPr="00135358">
        <w:rPr>
          <w:rFonts w:ascii="Times New Roman" w:hAnsiTheme="minorEastAsia" w:cs="Times New Roman"/>
          <w:b/>
          <w:szCs w:val="21"/>
        </w:rPr>
        <w:t>稳定增长。</w:t>
      </w:r>
      <w:r w:rsidRPr="00D63F7F">
        <w:rPr>
          <w:rFonts w:ascii="Times New Roman" w:hAnsiTheme="minorEastAsia" w:cs="Times New Roman"/>
          <w:szCs w:val="21"/>
        </w:rPr>
        <w:t>与国内公司不同，国际公司的主营业务基本上是顾问咨询服务。国际性公司网络公关客户的主要需求为舆情监测、危机处理、产品推广及企业传播业务。</w:t>
      </w:r>
    </w:p>
    <w:p w:rsidR="00DB41D5" w:rsidRPr="00D63F7F" w:rsidRDefault="00DB41D5" w:rsidP="00D02886">
      <w:pPr>
        <w:spacing w:line="312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3F7F">
        <w:rPr>
          <w:rFonts w:ascii="Times New Roman" w:hAnsiTheme="minorEastAsia" w:cs="Times New Roman"/>
          <w:szCs w:val="21"/>
        </w:rPr>
        <w:t>国际性公司得益于全球化布局，因此营业成本控制较好，个人平均绩效很高。另外，这些公司的年签约客户数及连续签约客户</w:t>
      </w:r>
      <w:proofErr w:type="gramStart"/>
      <w:r w:rsidRPr="00D63F7F">
        <w:rPr>
          <w:rFonts w:ascii="Times New Roman" w:hAnsiTheme="minorEastAsia" w:cs="Times New Roman"/>
          <w:szCs w:val="21"/>
        </w:rPr>
        <w:t>数非常</w:t>
      </w:r>
      <w:proofErr w:type="gramEnd"/>
      <w:r w:rsidRPr="00D63F7F">
        <w:rPr>
          <w:rFonts w:ascii="Times New Roman" w:hAnsiTheme="minorEastAsia" w:cs="Times New Roman"/>
          <w:szCs w:val="21"/>
        </w:rPr>
        <w:t>稳定。</w:t>
      </w:r>
    </w:p>
    <w:p w:rsidR="00DB41D5" w:rsidRPr="00135358" w:rsidRDefault="00DB41D5" w:rsidP="00135358">
      <w:pPr>
        <w:spacing w:line="312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135358">
        <w:rPr>
          <w:rFonts w:ascii="Times New Roman" w:hAnsiTheme="minorEastAsia" w:cs="Times New Roman"/>
          <w:b/>
          <w:szCs w:val="21"/>
        </w:rPr>
        <w:t>五、中国公关行业面临的挑战与机遇。</w:t>
      </w:r>
    </w:p>
    <w:p w:rsidR="00DB41D5" w:rsidRDefault="00DB41D5" w:rsidP="00D02886">
      <w:pPr>
        <w:spacing w:line="312" w:lineRule="auto"/>
        <w:ind w:firstLineChars="200" w:firstLine="420"/>
        <w:rPr>
          <w:rFonts w:ascii="Times New Roman" w:hAnsiTheme="minorEastAsia" w:cs="Times New Roman"/>
          <w:szCs w:val="21"/>
        </w:rPr>
      </w:pPr>
      <w:r w:rsidRPr="00D63F7F">
        <w:rPr>
          <w:rFonts w:ascii="Times New Roman" w:hAnsiTheme="minorEastAsia" w:cs="Times New Roman"/>
          <w:szCs w:val="21"/>
        </w:rPr>
        <w:t>随着社会对公共关系需求的不断增加，公关行业服务领域将越来越广泛，越来越深入，公关公司和从业人员施展才华的机会越来越多，行业发展的机遇将更多，特别是城市的公共关系服务需求将成为新的增长点。</w:t>
      </w:r>
    </w:p>
    <w:p w:rsidR="00D02886" w:rsidRPr="00D63F7F" w:rsidRDefault="00D02886" w:rsidP="00D02886">
      <w:pPr>
        <w:spacing w:line="312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DB41D5" w:rsidRPr="00D63F7F" w:rsidRDefault="00DB41D5" w:rsidP="00D02886">
      <w:pPr>
        <w:spacing w:line="312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3F7F">
        <w:rPr>
          <w:rFonts w:ascii="Times New Roman" w:hAnsiTheme="minorEastAsia" w:cs="Times New Roman"/>
          <w:szCs w:val="21"/>
        </w:rPr>
        <w:lastRenderedPageBreak/>
        <w:t>但行业面临的挑战也是巨大的。</w:t>
      </w:r>
    </w:p>
    <w:p w:rsidR="00DB41D5" w:rsidRPr="00D63F7F" w:rsidRDefault="00DB41D5" w:rsidP="00135358">
      <w:pPr>
        <w:spacing w:line="312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135358">
        <w:rPr>
          <w:rFonts w:ascii="Times New Roman" w:hAnsiTheme="minorEastAsia" w:cs="Times New Roman"/>
          <w:b/>
          <w:szCs w:val="21"/>
        </w:rPr>
        <w:t>第一，行业竞争加剧，行业并购成为常态。</w:t>
      </w:r>
      <w:r w:rsidRPr="00D63F7F">
        <w:rPr>
          <w:rFonts w:ascii="Times New Roman" w:hAnsi="Times New Roman" w:cs="Times New Roman"/>
          <w:szCs w:val="21"/>
        </w:rPr>
        <w:t>2014</w:t>
      </w:r>
      <w:r w:rsidRPr="00D63F7F">
        <w:rPr>
          <w:rFonts w:ascii="Times New Roman" w:hAnsiTheme="minorEastAsia" w:cs="Times New Roman"/>
          <w:szCs w:val="21"/>
        </w:rPr>
        <w:t>年，随着传播环境和方式的变革，营销模式和手段已悄然进入公关领域，而广告和营销行业也借助公关的特点，富有创意性地宣传和推广产品，并借此为企业树形</w:t>
      </w:r>
      <w:proofErr w:type="gramStart"/>
      <w:r w:rsidRPr="00D63F7F">
        <w:rPr>
          <w:rFonts w:ascii="Times New Roman" w:hAnsiTheme="minorEastAsia" w:cs="Times New Roman"/>
          <w:szCs w:val="21"/>
        </w:rPr>
        <w:t>象</w:t>
      </w:r>
      <w:proofErr w:type="gramEnd"/>
      <w:r w:rsidRPr="00D63F7F">
        <w:rPr>
          <w:rFonts w:ascii="Times New Roman" w:hAnsiTheme="minorEastAsia" w:cs="Times New Roman"/>
          <w:szCs w:val="21"/>
        </w:rPr>
        <w:t>、创品牌，这一变化导致行业之间的边界越来越模糊、竞争越来越激烈。</w:t>
      </w:r>
    </w:p>
    <w:p w:rsidR="00DB41D5" w:rsidRPr="00D63F7F" w:rsidRDefault="00DB41D5" w:rsidP="00D02886">
      <w:pPr>
        <w:spacing w:line="312" w:lineRule="auto"/>
        <w:ind w:firstLineChars="200" w:firstLine="420"/>
        <w:rPr>
          <w:rFonts w:ascii="Times New Roman" w:hAnsiTheme="minorEastAsia" w:cs="Times New Roman"/>
          <w:szCs w:val="21"/>
        </w:rPr>
      </w:pPr>
      <w:r w:rsidRPr="00D63F7F">
        <w:rPr>
          <w:rFonts w:ascii="Times New Roman" w:hAnsiTheme="minorEastAsia" w:cs="Times New Roman"/>
          <w:szCs w:val="21"/>
        </w:rPr>
        <w:t>跨行业以及行业内部的</w:t>
      </w:r>
      <w:r w:rsidR="006615F3">
        <w:rPr>
          <w:rFonts w:ascii="Times New Roman" w:hAnsiTheme="minorEastAsia" w:cs="Times New Roman" w:hint="eastAsia"/>
          <w:szCs w:val="21"/>
        </w:rPr>
        <w:t>并购</w:t>
      </w:r>
      <w:r w:rsidRPr="00D63F7F">
        <w:rPr>
          <w:rFonts w:ascii="Times New Roman" w:hAnsiTheme="minorEastAsia" w:cs="Times New Roman"/>
          <w:szCs w:val="21"/>
        </w:rPr>
        <w:t>将成为常态。</w:t>
      </w:r>
      <w:r w:rsidR="00143E28" w:rsidRPr="00D63F7F">
        <w:rPr>
          <w:rFonts w:ascii="Times New Roman" w:hAnsiTheme="minorEastAsia" w:cs="Times New Roman" w:hint="eastAsia"/>
          <w:szCs w:val="21"/>
        </w:rPr>
        <w:t>201</w:t>
      </w:r>
      <w:r w:rsidR="006615F3">
        <w:rPr>
          <w:rFonts w:ascii="Times New Roman" w:hAnsiTheme="minorEastAsia" w:cs="Times New Roman" w:hint="eastAsia"/>
          <w:szCs w:val="21"/>
        </w:rPr>
        <w:t>4</w:t>
      </w:r>
      <w:r w:rsidR="00143E28" w:rsidRPr="00D63F7F">
        <w:rPr>
          <w:rFonts w:ascii="Times New Roman" w:hAnsiTheme="minorEastAsia" w:cs="Times New Roman" w:hint="eastAsia"/>
          <w:szCs w:val="21"/>
        </w:rPr>
        <w:t>年</w:t>
      </w:r>
      <w:r w:rsidR="006615F3">
        <w:rPr>
          <w:rFonts w:ascii="Times New Roman" w:hAnsiTheme="minorEastAsia" w:cs="Times New Roman" w:hint="eastAsia"/>
          <w:szCs w:val="21"/>
        </w:rPr>
        <w:t>6</w:t>
      </w:r>
      <w:r w:rsidR="006615F3">
        <w:rPr>
          <w:rFonts w:ascii="Times New Roman" w:hAnsiTheme="minorEastAsia" w:cs="Times New Roman" w:hint="eastAsia"/>
          <w:szCs w:val="21"/>
        </w:rPr>
        <w:t>月</w:t>
      </w:r>
      <w:r w:rsidR="00143E28" w:rsidRPr="00D63F7F">
        <w:rPr>
          <w:rFonts w:ascii="Times New Roman" w:hAnsiTheme="minorEastAsia" w:cs="Times New Roman" w:hint="eastAsia"/>
          <w:szCs w:val="21"/>
        </w:rPr>
        <w:t>，</w:t>
      </w:r>
      <w:proofErr w:type="gramStart"/>
      <w:r w:rsidR="00143E28" w:rsidRPr="00D63F7F">
        <w:rPr>
          <w:rFonts w:ascii="Times New Roman" w:hAnsiTheme="minorEastAsia" w:cs="Times New Roman" w:hint="eastAsia"/>
          <w:szCs w:val="21"/>
        </w:rPr>
        <w:t>华谊嘉信</w:t>
      </w:r>
      <w:proofErr w:type="gramEnd"/>
      <w:r w:rsidR="00143E28" w:rsidRPr="00D63F7F">
        <w:rPr>
          <w:rFonts w:ascii="Times New Roman" w:hAnsiTheme="minorEastAsia" w:cs="Times New Roman" w:hint="eastAsia"/>
          <w:szCs w:val="21"/>
        </w:rPr>
        <w:t>以发行股份和支付现金相结合的方式购买</w:t>
      </w:r>
      <w:proofErr w:type="gramStart"/>
      <w:r w:rsidR="00143E28" w:rsidRPr="00D63F7F">
        <w:rPr>
          <w:rFonts w:ascii="Times New Roman" w:hAnsiTheme="minorEastAsia" w:cs="Times New Roman" w:hint="eastAsia"/>
          <w:szCs w:val="21"/>
        </w:rPr>
        <w:t>迪</w:t>
      </w:r>
      <w:proofErr w:type="gramEnd"/>
      <w:r w:rsidR="00143E28" w:rsidRPr="00D63F7F">
        <w:rPr>
          <w:rFonts w:ascii="Times New Roman" w:hAnsiTheme="minorEastAsia" w:cs="Times New Roman" w:hint="eastAsia"/>
          <w:szCs w:val="21"/>
        </w:rPr>
        <w:t>思传媒</w:t>
      </w:r>
      <w:r w:rsidR="00143E28" w:rsidRPr="00D63F7F">
        <w:rPr>
          <w:rFonts w:ascii="Times New Roman" w:hAnsiTheme="minorEastAsia" w:cs="Times New Roman" w:hint="eastAsia"/>
          <w:szCs w:val="21"/>
        </w:rPr>
        <w:t>100%</w:t>
      </w:r>
      <w:r w:rsidR="00143E28" w:rsidRPr="00D63F7F">
        <w:rPr>
          <w:rFonts w:ascii="Times New Roman" w:hAnsiTheme="minorEastAsia" w:cs="Times New Roman" w:hint="eastAsia"/>
          <w:szCs w:val="21"/>
        </w:rPr>
        <w:t>股份，估值</w:t>
      </w:r>
      <w:r w:rsidR="00143E28" w:rsidRPr="00D63F7F">
        <w:rPr>
          <w:rFonts w:ascii="Times New Roman" w:hAnsiTheme="minorEastAsia" w:cs="Times New Roman" w:hint="eastAsia"/>
          <w:szCs w:val="21"/>
        </w:rPr>
        <w:t>4.6</w:t>
      </w:r>
      <w:r w:rsidR="00143E28" w:rsidRPr="00D63F7F">
        <w:rPr>
          <w:rFonts w:ascii="Times New Roman" w:hAnsiTheme="minorEastAsia" w:cs="Times New Roman" w:hint="eastAsia"/>
          <w:szCs w:val="21"/>
        </w:rPr>
        <w:t>亿元；同年</w:t>
      </w:r>
      <w:r w:rsidR="006615F3">
        <w:rPr>
          <w:rFonts w:ascii="Times New Roman" w:hAnsiTheme="minorEastAsia" w:cs="Times New Roman" w:hint="eastAsia"/>
          <w:szCs w:val="21"/>
        </w:rPr>
        <w:t>9</w:t>
      </w:r>
      <w:r w:rsidR="006615F3">
        <w:rPr>
          <w:rFonts w:ascii="Times New Roman" w:hAnsiTheme="minorEastAsia" w:cs="Times New Roman" w:hint="eastAsia"/>
          <w:szCs w:val="21"/>
        </w:rPr>
        <w:t>月</w:t>
      </w:r>
      <w:r w:rsidR="00143E28" w:rsidRPr="00D63F7F">
        <w:rPr>
          <w:rFonts w:ascii="Times New Roman" w:hAnsiTheme="minorEastAsia" w:cs="Times New Roman" w:hint="eastAsia"/>
          <w:szCs w:val="21"/>
        </w:rPr>
        <w:t>，</w:t>
      </w:r>
      <w:r w:rsidR="00143E28" w:rsidRPr="00D63F7F">
        <w:rPr>
          <w:rFonts w:ascii="Times New Roman" w:hAnsiTheme="minorEastAsia" w:cs="Times New Roman"/>
          <w:szCs w:val="21"/>
        </w:rPr>
        <w:t>深圳市联建光电股份有限公司发布公告，以现金及发行股份方式收购</w:t>
      </w:r>
      <w:proofErr w:type="gramStart"/>
      <w:r w:rsidR="00143E28" w:rsidRPr="00D63F7F">
        <w:rPr>
          <w:rFonts w:ascii="Times New Roman" w:hAnsiTheme="minorEastAsia" w:cs="Times New Roman"/>
          <w:szCs w:val="21"/>
        </w:rPr>
        <w:t>上海友拓公关</w:t>
      </w:r>
      <w:proofErr w:type="gramEnd"/>
      <w:r w:rsidR="00143E28" w:rsidRPr="00D63F7F">
        <w:rPr>
          <w:rFonts w:ascii="Times New Roman" w:hAnsiTheme="minorEastAsia" w:cs="Times New Roman"/>
          <w:szCs w:val="21"/>
        </w:rPr>
        <w:t>顾问有限公司</w:t>
      </w:r>
      <w:r w:rsidR="006615F3">
        <w:rPr>
          <w:rFonts w:ascii="Times New Roman" w:hAnsiTheme="minorEastAsia" w:cs="Times New Roman" w:hint="eastAsia"/>
          <w:szCs w:val="21"/>
        </w:rPr>
        <w:t>，</w:t>
      </w:r>
      <w:r w:rsidR="00143E28" w:rsidRPr="00D63F7F">
        <w:rPr>
          <w:rFonts w:ascii="Times New Roman" w:hAnsiTheme="minorEastAsia" w:cs="Times New Roman"/>
          <w:szCs w:val="21"/>
        </w:rPr>
        <w:t>交易作价为</w:t>
      </w:r>
      <w:r w:rsidR="00143E28" w:rsidRPr="00D63F7F">
        <w:rPr>
          <w:rFonts w:ascii="Times New Roman" w:hAnsiTheme="minorEastAsia" w:cs="Times New Roman"/>
          <w:szCs w:val="21"/>
        </w:rPr>
        <w:t>4.6</w:t>
      </w:r>
      <w:r w:rsidR="00143E28" w:rsidRPr="00D63F7F">
        <w:rPr>
          <w:rFonts w:ascii="Times New Roman" w:hAnsiTheme="minorEastAsia" w:cs="Times New Roman"/>
          <w:szCs w:val="21"/>
        </w:rPr>
        <w:t>亿元</w:t>
      </w:r>
      <w:r w:rsidR="00143E28" w:rsidRPr="00D63F7F">
        <w:rPr>
          <w:rFonts w:ascii="Times New Roman" w:hAnsiTheme="minorEastAsia" w:cs="Times New Roman" w:hint="eastAsia"/>
          <w:szCs w:val="21"/>
        </w:rPr>
        <w:t>；</w:t>
      </w:r>
      <w:r w:rsidRPr="00D63F7F">
        <w:rPr>
          <w:rFonts w:ascii="Times New Roman" w:hAnsiTheme="minorEastAsia" w:cs="Times New Roman"/>
          <w:szCs w:val="21"/>
        </w:rPr>
        <w:t>未来公关行业的格局</w:t>
      </w:r>
      <w:r w:rsidR="006615F3">
        <w:rPr>
          <w:rFonts w:ascii="Times New Roman" w:hAnsiTheme="minorEastAsia" w:cs="Times New Roman" w:hint="eastAsia"/>
          <w:szCs w:val="21"/>
        </w:rPr>
        <w:t>将</w:t>
      </w:r>
      <w:r w:rsidRPr="00D63F7F">
        <w:rPr>
          <w:rFonts w:ascii="Times New Roman" w:hAnsiTheme="minorEastAsia" w:cs="Times New Roman"/>
          <w:szCs w:val="21"/>
        </w:rPr>
        <w:t>是实力强大的公关传播集团开始形成，而中小型公关公司则将利用自身优势，走上更加专业化的道路。</w:t>
      </w:r>
    </w:p>
    <w:p w:rsidR="00DB41D5" w:rsidRPr="00D63F7F" w:rsidRDefault="00DB41D5" w:rsidP="00135358">
      <w:pPr>
        <w:spacing w:line="312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135358">
        <w:rPr>
          <w:rFonts w:ascii="Times New Roman" w:hAnsiTheme="minorEastAsia" w:cs="Times New Roman"/>
          <w:b/>
          <w:szCs w:val="21"/>
        </w:rPr>
        <w:t>第二，人才问题仍然是影响行业发展的瓶颈。</w:t>
      </w:r>
      <w:r w:rsidRPr="00D63F7F">
        <w:rPr>
          <w:rFonts w:ascii="Times New Roman" w:hAnsiTheme="minorEastAsia" w:cs="Times New Roman"/>
          <w:szCs w:val="21"/>
        </w:rPr>
        <w:t>由于行业整体稳定增长带来的人才需求，与</w:t>
      </w:r>
      <w:r w:rsidRPr="00D63F7F">
        <w:rPr>
          <w:rFonts w:ascii="Times New Roman" w:hAnsi="Times New Roman" w:cs="Times New Roman"/>
          <w:szCs w:val="21"/>
        </w:rPr>
        <w:t>2013</w:t>
      </w:r>
      <w:r w:rsidRPr="00D63F7F">
        <w:rPr>
          <w:rFonts w:ascii="Times New Roman" w:hAnsiTheme="minorEastAsia" w:cs="Times New Roman"/>
          <w:szCs w:val="21"/>
        </w:rPr>
        <w:t>年相比，中国公关市场人才专业化问题，并没有得到缓解。</w:t>
      </w:r>
      <w:r w:rsidRPr="00D63F7F">
        <w:rPr>
          <w:rFonts w:ascii="Times New Roman" w:hAnsi="Times New Roman" w:cs="Times New Roman"/>
          <w:szCs w:val="21"/>
        </w:rPr>
        <w:t>2014</w:t>
      </w:r>
      <w:r w:rsidRPr="00D63F7F">
        <w:rPr>
          <w:rFonts w:ascii="Times New Roman" w:hAnsiTheme="minorEastAsia" w:cs="Times New Roman"/>
          <w:szCs w:val="21"/>
        </w:rPr>
        <w:t>年，尽管人才无序流动的势头稍微放缓，但人才问题依然困扰着公关行业。另外，</w:t>
      </w:r>
      <w:r w:rsidRPr="00D63F7F">
        <w:rPr>
          <w:rFonts w:ascii="Times New Roman" w:hAnsi="Times New Roman" w:cs="Times New Roman"/>
          <w:szCs w:val="21"/>
        </w:rPr>
        <w:t>2014</w:t>
      </w:r>
      <w:r w:rsidRPr="00D63F7F">
        <w:rPr>
          <w:rFonts w:ascii="Times New Roman" w:hAnsiTheme="minorEastAsia" w:cs="Times New Roman"/>
          <w:szCs w:val="21"/>
        </w:rPr>
        <w:t>年公关行业人力资源成本上升较快，也给公关公司带来了一定的压力。</w:t>
      </w:r>
    </w:p>
    <w:p w:rsidR="00DB41D5" w:rsidRPr="00D63F7F" w:rsidRDefault="00DB41D5" w:rsidP="00135358">
      <w:pPr>
        <w:spacing w:line="312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135358">
        <w:rPr>
          <w:rFonts w:ascii="Times New Roman" w:hAnsiTheme="minorEastAsia" w:cs="Times New Roman"/>
          <w:b/>
          <w:szCs w:val="21"/>
        </w:rPr>
        <w:t>第三，大数据挖掘和应用更加深入。</w:t>
      </w:r>
      <w:r w:rsidRPr="00D63F7F">
        <w:rPr>
          <w:rFonts w:ascii="Times New Roman" w:hAnsiTheme="minorEastAsia" w:cs="Times New Roman"/>
          <w:szCs w:val="21"/>
        </w:rPr>
        <w:t>互联网时代，大数据深刻影响行业变革，微博、微信、微视频等传播手段以及营销模式层出不穷。网上信息的精准抓取满足了客户个性化的需求，也让大数据开发和应用能够大展拳脚。公关行业与传播手段联系最为紧密，如何应对、如何转型、如何创新，关系着行业的生存和发展。</w:t>
      </w:r>
    </w:p>
    <w:p w:rsidR="00DB41D5" w:rsidRPr="00D63F7F" w:rsidRDefault="00DB41D5" w:rsidP="00135358">
      <w:pPr>
        <w:spacing w:line="312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135358">
        <w:rPr>
          <w:rFonts w:ascii="Times New Roman" w:hAnsiTheme="minorEastAsia" w:cs="Times New Roman"/>
          <w:b/>
          <w:szCs w:val="21"/>
        </w:rPr>
        <w:t>第四，随着传播环境的变化，公关模式的变化，行业内部、行业之间出现了激烈的竞争态势。</w:t>
      </w:r>
      <w:r w:rsidRPr="00D63F7F">
        <w:rPr>
          <w:rFonts w:ascii="Times New Roman" w:hAnsiTheme="minorEastAsia" w:cs="Times New Roman"/>
          <w:szCs w:val="21"/>
        </w:rPr>
        <w:t>变革将伴随公关行业未来相当长一段时间，变革将给行业带来巨大挑战。另外，随着广告、营销等行业的介入，企业对公关公司</w:t>
      </w:r>
      <w:r w:rsidR="00205C9F">
        <w:rPr>
          <w:rFonts w:ascii="Times New Roman" w:hAnsiTheme="minorEastAsia" w:cs="Times New Roman" w:hint="eastAsia"/>
          <w:szCs w:val="21"/>
        </w:rPr>
        <w:t>服务质量</w:t>
      </w:r>
      <w:r w:rsidRPr="00D63F7F">
        <w:rPr>
          <w:rFonts w:ascii="Times New Roman" w:hAnsiTheme="minorEastAsia" w:cs="Times New Roman"/>
          <w:szCs w:val="21"/>
        </w:rPr>
        <w:t>的要求将会越来越高，因此，公关行业</w:t>
      </w:r>
      <w:r w:rsidR="00205C9F">
        <w:rPr>
          <w:rFonts w:ascii="Times New Roman" w:hAnsiTheme="minorEastAsia" w:cs="Times New Roman" w:hint="eastAsia"/>
          <w:szCs w:val="21"/>
        </w:rPr>
        <w:t>必须</w:t>
      </w:r>
      <w:r w:rsidRPr="00D63F7F">
        <w:rPr>
          <w:rFonts w:ascii="Times New Roman" w:hAnsiTheme="minorEastAsia" w:cs="Times New Roman"/>
          <w:szCs w:val="21"/>
        </w:rPr>
        <w:t>要在创新中求发展。</w:t>
      </w:r>
    </w:p>
    <w:p w:rsidR="00DB41D5" w:rsidRPr="00D63F7F" w:rsidRDefault="00DB41D5" w:rsidP="00D02886">
      <w:pPr>
        <w:spacing w:line="312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3F7F">
        <w:rPr>
          <w:rFonts w:ascii="Times New Roman" w:hAnsiTheme="minorEastAsia" w:cs="Times New Roman"/>
          <w:szCs w:val="21"/>
        </w:rPr>
        <w:t>作为行业组织，中国国际公共关系协会自始至终致力于中国公共关系行业的国际化、专业化、规范化，取得的成绩有目共睹。</w:t>
      </w:r>
      <w:r w:rsidRPr="00D63F7F">
        <w:rPr>
          <w:rFonts w:ascii="Times New Roman" w:hAnsi="Times New Roman" w:cs="Times New Roman"/>
          <w:szCs w:val="21"/>
        </w:rPr>
        <w:t>2015</w:t>
      </w:r>
      <w:r w:rsidRPr="00D63F7F">
        <w:rPr>
          <w:rFonts w:ascii="Times New Roman" w:hAnsiTheme="minorEastAsia" w:cs="Times New Roman"/>
          <w:szCs w:val="21"/>
        </w:rPr>
        <w:t>年，协会将继续加大力度，提升行业的社会影响，改变社会对公共关系行业的负面认知；继续与政府相关部门沟通，让政府更加重视公共关系的作用，并使行业获得应有的地位；继续推进公共关系的业务整合和资本运作，推动更多的优秀公关公司做</w:t>
      </w:r>
      <w:proofErr w:type="gramStart"/>
      <w:r w:rsidRPr="00D63F7F">
        <w:rPr>
          <w:rFonts w:ascii="Times New Roman" w:hAnsiTheme="minorEastAsia" w:cs="Times New Roman"/>
          <w:szCs w:val="21"/>
        </w:rPr>
        <w:t>强做</w:t>
      </w:r>
      <w:proofErr w:type="gramEnd"/>
      <w:r w:rsidRPr="00D63F7F">
        <w:rPr>
          <w:rFonts w:ascii="Times New Roman" w:hAnsiTheme="minorEastAsia" w:cs="Times New Roman"/>
          <w:szCs w:val="21"/>
        </w:rPr>
        <w:t>精；鼓励它们在通过创新模式、兼并收购等手段发展壮大的同时，承担更多的行业责任和社会责任。</w:t>
      </w:r>
    </w:p>
    <w:p w:rsidR="00DB41D5" w:rsidRPr="00DB41D5" w:rsidRDefault="00DB41D5" w:rsidP="00D85FCE">
      <w:pPr>
        <w:rPr>
          <w:rFonts w:ascii="Times New Roman" w:hAnsi="Times New Roman" w:cs="Times New Roman"/>
          <w:szCs w:val="21"/>
        </w:rPr>
      </w:pPr>
    </w:p>
    <w:sectPr w:rsidR="00DB41D5" w:rsidRPr="00DB41D5" w:rsidSect="00211ADE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0B" w:rsidRDefault="0069230B" w:rsidP="00F47BBB">
      <w:r>
        <w:separator/>
      </w:r>
    </w:p>
  </w:endnote>
  <w:endnote w:type="continuationSeparator" w:id="1">
    <w:p w:rsidR="0069230B" w:rsidRDefault="0069230B" w:rsidP="00F47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876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9230B" w:rsidRDefault="0069230B">
            <w:pPr>
              <w:pStyle w:val="a4"/>
              <w:jc w:val="center"/>
            </w:pPr>
            <w:r w:rsidRPr="00A0698C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A069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0698C">
              <w:rPr>
                <w:rFonts w:ascii="Times New Roman" w:hAnsi="Times New Roman" w:cs="Times New Roman"/>
                <w:b/>
              </w:rPr>
              <w:instrText>PAGE</w:instrText>
            </w:r>
            <w:r w:rsidRPr="00A069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6216">
              <w:rPr>
                <w:rFonts w:ascii="Times New Roman" w:hAnsi="Times New Roman" w:cs="Times New Roman"/>
                <w:b/>
                <w:noProof/>
              </w:rPr>
              <w:t>10</w:t>
            </w:r>
            <w:r w:rsidRPr="00A069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A0698C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A069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0698C">
              <w:rPr>
                <w:rFonts w:ascii="Times New Roman" w:hAnsi="Times New Roman" w:cs="Times New Roman"/>
                <w:b/>
              </w:rPr>
              <w:instrText>NUMPAGES</w:instrText>
            </w:r>
            <w:r w:rsidRPr="00A069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6216">
              <w:rPr>
                <w:rFonts w:ascii="Times New Roman" w:hAnsi="Times New Roman" w:cs="Times New Roman"/>
                <w:b/>
                <w:noProof/>
              </w:rPr>
              <w:t>10</w:t>
            </w:r>
            <w:r w:rsidRPr="00A069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9230B" w:rsidRDefault="006923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0B" w:rsidRDefault="0069230B" w:rsidP="00F47BBB">
      <w:r>
        <w:separator/>
      </w:r>
    </w:p>
  </w:footnote>
  <w:footnote w:type="continuationSeparator" w:id="1">
    <w:p w:rsidR="0069230B" w:rsidRDefault="0069230B" w:rsidP="00F47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0B" w:rsidRPr="00A0698C" w:rsidRDefault="0069230B" w:rsidP="00A0698C">
    <w:pPr>
      <w:pStyle w:val="a3"/>
      <w:jc w:val="both"/>
      <w:rPr>
        <w:rFonts w:ascii="Arial" w:eastAsia="黑体" w:hAnsi="Arial" w:cs="Arial"/>
      </w:rPr>
    </w:pPr>
    <w:r w:rsidRPr="00A0698C">
      <w:rPr>
        <w:rFonts w:asciiTheme="minorEastAsia" w:hAnsiTheme="minorEastAsia" w:hint="eastAsia"/>
      </w:rPr>
      <w:t>中国国际公共关系协会</w:t>
    </w:r>
    <w:r w:rsidRPr="00A0698C">
      <w:rPr>
        <w:rFonts w:ascii="黑体" w:eastAsia="黑体" w:hAnsi="黑体" w:hint="eastAsia"/>
      </w:rPr>
      <w:t xml:space="preserve">                                                 </w:t>
    </w:r>
    <w:r>
      <w:rPr>
        <w:rFonts w:ascii="黑体" w:eastAsia="黑体" w:hAnsi="黑体" w:hint="eastAsia"/>
      </w:rPr>
      <w:t xml:space="preserve">       </w:t>
    </w:r>
    <w:r w:rsidRPr="00A0698C">
      <w:rPr>
        <w:rFonts w:ascii="Arial" w:eastAsia="黑体" w:hAnsi="Arial" w:cs="Arial"/>
      </w:rPr>
      <w:t>201</w:t>
    </w:r>
    <w:r>
      <w:rPr>
        <w:rFonts w:ascii="Arial" w:eastAsia="黑体" w:hAnsi="Arial" w:cs="Arial" w:hint="eastAsia"/>
      </w:rPr>
      <w:t>5</w:t>
    </w:r>
    <w:r w:rsidRPr="00A0698C">
      <w:rPr>
        <w:rFonts w:ascii="Arial" w:eastAsia="黑体" w:hAnsi="黑体" w:cs="Arial"/>
      </w:rPr>
      <w:t>年</w:t>
    </w:r>
    <w:r w:rsidRPr="00A0698C">
      <w:rPr>
        <w:rFonts w:ascii="Arial" w:eastAsia="黑体" w:hAnsi="Arial" w:cs="Arial"/>
      </w:rPr>
      <w:t>4</w:t>
    </w:r>
    <w:r w:rsidRPr="00A0698C">
      <w:rPr>
        <w:rFonts w:ascii="Arial" w:eastAsia="黑体" w:hAnsi="黑体" w:cs="Arial"/>
      </w:rPr>
      <w:t>月</w:t>
    </w:r>
    <w:r>
      <w:rPr>
        <w:rFonts w:ascii="Arial" w:eastAsia="黑体" w:hAnsi="黑体" w:cs="Arial" w:hint="eastAsia"/>
      </w:rPr>
      <w:t>15</w:t>
    </w:r>
    <w:r>
      <w:rPr>
        <w:rFonts w:ascii="Arial" w:eastAsia="黑体" w:hAnsi="黑体" w:cs="Arial" w:hint="eastAsia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337E"/>
    <w:multiLevelType w:val="hybridMultilevel"/>
    <w:tmpl w:val="4830BECC"/>
    <w:lvl w:ilvl="0" w:tplc="10C26912">
      <w:start w:val="1"/>
      <w:numFmt w:val="japaneseCounting"/>
      <w:lvlText w:val="%1、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854A2"/>
    <w:multiLevelType w:val="hybridMultilevel"/>
    <w:tmpl w:val="19E6FDA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EB14A6B"/>
    <w:multiLevelType w:val="hybridMultilevel"/>
    <w:tmpl w:val="75DE23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134746"/>
    <w:multiLevelType w:val="hybridMultilevel"/>
    <w:tmpl w:val="5388FC70"/>
    <w:lvl w:ilvl="0" w:tplc="AA00642C">
      <w:start w:val="26"/>
      <w:numFmt w:val="decimal"/>
      <w:lvlText w:val="（"/>
      <w:lvlJc w:val="left"/>
      <w:pPr>
        <w:ind w:left="690" w:hanging="690"/>
      </w:pPr>
      <w:rPr>
        <w:rFonts w:eastAsia="黑体" w:hint="default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C332217"/>
    <w:multiLevelType w:val="hybridMultilevel"/>
    <w:tmpl w:val="933AAA46"/>
    <w:lvl w:ilvl="0" w:tplc="9998D1AE">
      <w:start w:val="1"/>
      <w:numFmt w:val="japaneseCounting"/>
      <w:lvlText w:val="%1、"/>
      <w:lvlJc w:val="left"/>
      <w:pPr>
        <w:ind w:left="1262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48791C64"/>
    <w:multiLevelType w:val="hybridMultilevel"/>
    <w:tmpl w:val="FC46C190"/>
    <w:lvl w:ilvl="0" w:tplc="0AC0B606">
      <w:start w:val="3"/>
      <w:numFmt w:val="japaneseCounting"/>
      <w:lvlText w:val="%1、"/>
      <w:lvlJc w:val="left"/>
      <w:pPr>
        <w:ind w:left="435" w:hanging="435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602C8E"/>
    <w:multiLevelType w:val="hybridMultilevel"/>
    <w:tmpl w:val="845E6ED4"/>
    <w:lvl w:ilvl="0" w:tplc="1324CC1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74EF3B32"/>
    <w:multiLevelType w:val="hybridMultilevel"/>
    <w:tmpl w:val="63E4A0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BBB"/>
    <w:rsid w:val="00004F46"/>
    <w:rsid w:val="00005E72"/>
    <w:rsid w:val="00026717"/>
    <w:rsid w:val="00026C56"/>
    <w:rsid w:val="000304A3"/>
    <w:rsid w:val="00034C3A"/>
    <w:rsid w:val="00045B80"/>
    <w:rsid w:val="00047E60"/>
    <w:rsid w:val="000502FC"/>
    <w:rsid w:val="000564E4"/>
    <w:rsid w:val="000666F5"/>
    <w:rsid w:val="000747C2"/>
    <w:rsid w:val="000763D9"/>
    <w:rsid w:val="00082E66"/>
    <w:rsid w:val="000852DD"/>
    <w:rsid w:val="000929CD"/>
    <w:rsid w:val="00097AC3"/>
    <w:rsid w:val="000C024B"/>
    <w:rsid w:val="000C07B2"/>
    <w:rsid w:val="000E1F02"/>
    <w:rsid w:val="000E6D5E"/>
    <w:rsid w:val="000F2077"/>
    <w:rsid w:val="001076EC"/>
    <w:rsid w:val="00117896"/>
    <w:rsid w:val="0012103C"/>
    <w:rsid w:val="00130AF0"/>
    <w:rsid w:val="001326B7"/>
    <w:rsid w:val="00135358"/>
    <w:rsid w:val="00143E28"/>
    <w:rsid w:val="001477A0"/>
    <w:rsid w:val="001571C1"/>
    <w:rsid w:val="00186503"/>
    <w:rsid w:val="00192BF6"/>
    <w:rsid w:val="00193020"/>
    <w:rsid w:val="00195E29"/>
    <w:rsid w:val="0019614F"/>
    <w:rsid w:val="00196FD6"/>
    <w:rsid w:val="001A07D4"/>
    <w:rsid w:val="001A20FF"/>
    <w:rsid w:val="001A6A88"/>
    <w:rsid w:val="001B231E"/>
    <w:rsid w:val="001B68AB"/>
    <w:rsid w:val="001C29F9"/>
    <w:rsid w:val="001D757D"/>
    <w:rsid w:val="001E54DC"/>
    <w:rsid w:val="001F31A5"/>
    <w:rsid w:val="00205C9F"/>
    <w:rsid w:val="00206C62"/>
    <w:rsid w:val="00211ADE"/>
    <w:rsid w:val="00211FAF"/>
    <w:rsid w:val="002126AD"/>
    <w:rsid w:val="00222AD7"/>
    <w:rsid w:val="00241509"/>
    <w:rsid w:val="0028444E"/>
    <w:rsid w:val="00284851"/>
    <w:rsid w:val="00290BE8"/>
    <w:rsid w:val="00294EF5"/>
    <w:rsid w:val="002A725B"/>
    <w:rsid w:val="002B3232"/>
    <w:rsid w:val="002C7A57"/>
    <w:rsid w:val="002D5880"/>
    <w:rsid w:val="002E7D6B"/>
    <w:rsid w:val="002F0B77"/>
    <w:rsid w:val="002F58E0"/>
    <w:rsid w:val="00305BEF"/>
    <w:rsid w:val="00312F49"/>
    <w:rsid w:val="00315135"/>
    <w:rsid w:val="00325019"/>
    <w:rsid w:val="00327164"/>
    <w:rsid w:val="0033448F"/>
    <w:rsid w:val="0033746E"/>
    <w:rsid w:val="00337BC5"/>
    <w:rsid w:val="00341BD3"/>
    <w:rsid w:val="00344FB0"/>
    <w:rsid w:val="00355CCE"/>
    <w:rsid w:val="00356E3E"/>
    <w:rsid w:val="00357E1F"/>
    <w:rsid w:val="00360B0B"/>
    <w:rsid w:val="003627BC"/>
    <w:rsid w:val="00364902"/>
    <w:rsid w:val="00371F7D"/>
    <w:rsid w:val="003726B9"/>
    <w:rsid w:val="00377406"/>
    <w:rsid w:val="003865B2"/>
    <w:rsid w:val="0039512F"/>
    <w:rsid w:val="0039666D"/>
    <w:rsid w:val="00397BD9"/>
    <w:rsid w:val="003A36A7"/>
    <w:rsid w:val="003A4AE1"/>
    <w:rsid w:val="003A62C4"/>
    <w:rsid w:val="003A665E"/>
    <w:rsid w:val="003A71F9"/>
    <w:rsid w:val="003B334D"/>
    <w:rsid w:val="003C15ED"/>
    <w:rsid w:val="003D06CD"/>
    <w:rsid w:val="003E36E8"/>
    <w:rsid w:val="003E63FB"/>
    <w:rsid w:val="003E6D01"/>
    <w:rsid w:val="003E7C49"/>
    <w:rsid w:val="003F0BFB"/>
    <w:rsid w:val="003F2964"/>
    <w:rsid w:val="003F3104"/>
    <w:rsid w:val="003F449B"/>
    <w:rsid w:val="004002C8"/>
    <w:rsid w:val="0040423B"/>
    <w:rsid w:val="00422768"/>
    <w:rsid w:val="00423A32"/>
    <w:rsid w:val="00451760"/>
    <w:rsid w:val="00453A02"/>
    <w:rsid w:val="00460582"/>
    <w:rsid w:val="00476CA7"/>
    <w:rsid w:val="004933A2"/>
    <w:rsid w:val="00493DCA"/>
    <w:rsid w:val="00497788"/>
    <w:rsid w:val="004A13EE"/>
    <w:rsid w:val="004A552E"/>
    <w:rsid w:val="004A5A33"/>
    <w:rsid w:val="004A74A2"/>
    <w:rsid w:val="004B6F79"/>
    <w:rsid w:val="004D0DE0"/>
    <w:rsid w:val="004D5710"/>
    <w:rsid w:val="00500AE9"/>
    <w:rsid w:val="00500E27"/>
    <w:rsid w:val="005053B1"/>
    <w:rsid w:val="00547308"/>
    <w:rsid w:val="00563216"/>
    <w:rsid w:val="00563756"/>
    <w:rsid w:val="00566C72"/>
    <w:rsid w:val="00590E67"/>
    <w:rsid w:val="005A137C"/>
    <w:rsid w:val="005D0870"/>
    <w:rsid w:val="005D4B19"/>
    <w:rsid w:val="005D536E"/>
    <w:rsid w:val="005E1DC2"/>
    <w:rsid w:val="005E5F95"/>
    <w:rsid w:val="005F5E4D"/>
    <w:rsid w:val="006054B8"/>
    <w:rsid w:val="00610652"/>
    <w:rsid w:val="006119AA"/>
    <w:rsid w:val="006271DD"/>
    <w:rsid w:val="00634A1F"/>
    <w:rsid w:val="0063697C"/>
    <w:rsid w:val="00636F79"/>
    <w:rsid w:val="006425E1"/>
    <w:rsid w:val="0064585B"/>
    <w:rsid w:val="0064686B"/>
    <w:rsid w:val="00651B32"/>
    <w:rsid w:val="00653CF8"/>
    <w:rsid w:val="00655402"/>
    <w:rsid w:val="00657D7A"/>
    <w:rsid w:val="006615F3"/>
    <w:rsid w:val="00667BFB"/>
    <w:rsid w:val="00671EEB"/>
    <w:rsid w:val="00676216"/>
    <w:rsid w:val="00676971"/>
    <w:rsid w:val="006774D6"/>
    <w:rsid w:val="0069230B"/>
    <w:rsid w:val="00696B1B"/>
    <w:rsid w:val="006A7CB5"/>
    <w:rsid w:val="006D01B5"/>
    <w:rsid w:val="006D4993"/>
    <w:rsid w:val="006D7169"/>
    <w:rsid w:val="006E29CB"/>
    <w:rsid w:val="006E6269"/>
    <w:rsid w:val="006E7164"/>
    <w:rsid w:val="006F3EDF"/>
    <w:rsid w:val="006F6D28"/>
    <w:rsid w:val="00701D0E"/>
    <w:rsid w:val="00711F36"/>
    <w:rsid w:val="00713A82"/>
    <w:rsid w:val="007469F3"/>
    <w:rsid w:val="007545CE"/>
    <w:rsid w:val="00766A56"/>
    <w:rsid w:val="00773627"/>
    <w:rsid w:val="00781894"/>
    <w:rsid w:val="00787C08"/>
    <w:rsid w:val="00787D16"/>
    <w:rsid w:val="007A6053"/>
    <w:rsid w:val="007B2DB0"/>
    <w:rsid w:val="007C422C"/>
    <w:rsid w:val="007D5BB2"/>
    <w:rsid w:val="007E279D"/>
    <w:rsid w:val="007F4388"/>
    <w:rsid w:val="007F44DD"/>
    <w:rsid w:val="007F708B"/>
    <w:rsid w:val="007F7444"/>
    <w:rsid w:val="0080123C"/>
    <w:rsid w:val="00803EE7"/>
    <w:rsid w:val="00804A89"/>
    <w:rsid w:val="008057ED"/>
    <w:rsid w:val="008115D4"/>
    <w:rsid w:val="00811800"/>
    <w:rsid w:val="0081242F"/>
    <w:rsid w:val="008449CB"/>
    <w:rsid w:val="00857C6F"/>
    <w:rsid w:val="008616B1"/>
    <w:rsid w:val="00863E62"/>
    <w:rsid w:val="008675E6"/>
    <w:rsid w:val="00870C99"/>
    <w:rsid w:val="00870E9E"/>
    <w:rsid w:val="008862B6"/>
    <w:rsid w:val="00891476"/>
    <w:rsid w:val="00896153"/>
    <w:rsid w:val="008965FD"/>
    <w:rsid w:val="008B0A98"/>
    <w:rsid w:val="008B1059"/>
    <w:rsid w:val="008B2C85"/>
    <w:rsid w:val="008B2F1D"/>
    <w:rsid w:val="008B3D58"/>
    <w:rsid w:val="008B71E2"/>
    <w:rsid w:val="008D4703"/>
    <w:rsid w:val="008E09FA"/>
    <w:rsid w:val="008E484B"/>
    <w:rsid w:val="008E5EFC"/>
    <w:rsid w:val="008F5036"/>
    <w:rsid w:val="00911600"/>
    <w:rsid w:val="00913344"/>
    <w:rsid w:val="009257DA"/>
    <w:rsid w:val="00932252"/>
    <w:rsid w:val="00933BE6"/>
    <w:rsid w:val="00936C57"/>
    <w:rsid w:val="00944D1D"/>
    <w:rsid w:val="00952537"/>
    <w:rsid w:val="00952946"/>
    <w:rsid w:val="0097693B"/>
    <w:rsid w:val="00977101"/>
    <w:rsid w:val="00982353"/>
    <w:rsid w:val="009909EA"/>
    <w:rsid w:val="009947D4"/>
    <w:rsid w:val="009B3A16"/>
    <w:rsid w:val="009D1FC8"/>
    <w:rsid w:val="009E235B"/>
    <w:rsid w:val="009E2912"/>
    <w:rsid w:val="009E76C0"/>
    <w:rsid w:val="009E776B"/>
    <w:rsid w:val="009F3FFB"/>
    <w:rsid w:val="00A04A70"/>
    <w:rsid w:val="00A0698C"/>
    <w:rsid w:val="00A13936"/>
    <w:rsid w:val="00A1656D"/>
    <w:rsid w:val="00A17EBB"/>
    <w:rsid w:val="00A24323"/>
    <w:rsid w:val="00A363C0"/>
    <w:rsid w:val="00A43A81"/>
    <w:rsid w:val="00A54EBB"/>
    <w:rsid w:val="00A56CD0"/>
    <w:rsid w:val="00A654EF"/>
    <w:rsid w:val="00A6674A"/>
    <w:rsid w:val="00A75398"/>
    <w:rsid w:val="00A81897"/>
    <w:rsid w:val="00A83F84"/>
    <w:rsid w:val="00A90393"/>
    <w:rsid w:val="00A92C94"/>
    <w:rsid w:val="00AA0C8A"/>
    <w:rsid w:val="00AA5DC6"/>
    <w:rsid w:val="00AA6385"/>
    <w:rsid w:val="00AB2323"/>
    <w:rsid w:val="00AC6A59"/>
    <w:rsid w:val="00AC75A7"/>
    <w:rsid w:val="00AC7D2D"/>
    <w:rsid w:val="00AE2A7A"/>
    <w:rsid w:val="00AE71A2"/>
    <w:rsid w:val="00B00292"/>
    <w:rsid w:val="00B00B98"/>
    <w:rsid w:val="00B1027F"/>
    <w:rsid w:val="00B12AA9"/>
    <w:rsid w:val="00B147DA"/>
    <w:rsid w:val="00B22995"/>
    <w:rsid w:val="00B34A20"/>
    <w:rsid w:val="00B44E3A"/>
    <w:rsid w:val="00B46D2E"/>
    <w:rsid w:val="00B52EC8"/>
    <w:rsid w:val="00B53C44"/>
    <w:rsid w:val="00B5759B"/>
    <w:rsid w:val="00B62163"/>
    <w:rsid w:val="00B66F2A"/>
    <w:rsid w:val="00B70847"/>
    <w:rsid w:val="00B71771"/>
    <w:rsid w:val="00B72D51"/>
    <w:rsid w:val="00B96029"/>
    <w:rsid w:val="00BA1206"/>
    <w:rsid w:val="00BB00D8"/>
    <w:rsid w:val="00BC0ECE"/>
    <w:rsid w:val="00BC1784"/>
    <w:rsid w:val="00BC2C1A"/>
    <w:rsid w:val="00BE188E"/>
    <w:rsid w:val="00BE535F"/>
    <w:rsid w:val="00BF3564"/>
    <w:rsid w:val="00BF37C9"/>
    <w:rsid w:val="00BF4473"/>
    <w:rsid w:val="00BF51AE"/>
    <w:rsid w:val="00BF548E"/>
    <w:rsid w:val="00C0183D"/>
    <w:rsid w:val="00C11D54"/>
    <w:rsid w:val="00C135EE"/>
    <w:rsid w:val="00C15C34"/>
    <w:rsid w:val="00C17E94"/>
    <w:rsid w:val="00C312AC"/>
    <w:rsid w:val="00C41A59"/>
    <w:rsid w:val="00C44A6F"/>
    <w:rsid w:val="00C46BCC"/>
    <w:rsid w:val="00C470D5"/>
    <w:rsid w:val="00C6025C"/>
    <w:rsid w:val="00C6370C"/>
    <w:rsid w:val="00C63E82"/>
    <w:rsid w:val="00C65F7F"/>
    <w:rsid w:val="00C67CEB"/>
    <w:rsid w:val="00C7083A"/>
    <w:rsid w:val="00C91B51"/>
    <w:rsid w:val="00C91BC6"/>
    <w:rsid w:val="00CA131C"/>
    <w:rsid w:val="00CA7056"/>
    <w:rsid w:val="00CB2F2E"/>
    <w:rsid w:val="00CB33AC"/>
    <w:rsid w:val="00CB4762"/>
    <w:rsid w:val="00CB555E"/>
    <w:rsid w:val="00CB684D"/>
    <w:rsid w:val="00CC558D"/>
    <w:rsid w:val="00CC6A68"/>
    <w:rsid w:val="00CC7685"/>
    <w:rsid w:val="00CD2553"/>
    <w:rsid w:val="00CD649A"/>
    <w:rsid w:val="00CE1B5D"/>
    <w:rsid w:val="00CE1C90"/>
    <w:rsid w:val="00CE2C59"/>
    <w:rsid w:val="00CE66F6"/>
    <w:rsid w:val="00CF3723"/>
    <w:rsid w:val="00CF384E"/>
    <w:rsid w:val="00CF64A3"/>
    <w:rsid w:val="00D02886"/>
    <w:rsid w:val="00D02A4A"/>
    <w:rsid w:val="00D03793"/>
    <w:rsid w:val="00D149E8"/>
    <w:rsid w:val="00D25F3F"/>
    <w:rsid w:val="00D27CEF"/>
    <w:rsid w:val="00D32935"/>
    <w:rsid w:val="00D342B8"/>
    <w:rsid w:val="00D46CE4"/>
    <w:rsid w:val="00D570A5"/>
    <w:rsid w:val="00D61A68"/>
    <w:rsid w:val="00D62D5D"/>
    <w:rsid w:val="00D63F7F"/>
    <w:rsid w:val="00D668EB"/>
    <w:rsid w:val="00D760AC"/>
    <w:rsid w:val="00D77DAD"/>
    <w:rsid w:val="00D81172"/>
    <w:rsid w:val="00D847BF"/>
    <w:rsid w:val="00D85FCE"/>
    <w:rsid w:val="00DA33EF"/>
    <w:rsid w:val="00DA5E19"/>
    <w:rsid w:val="00DA76C4"/>
    <w:rsid w:val="00DB41D5"/>
    <w:rsid w:val="00DC5C04"/>
    <w:rsid w:val="00DD2895"/>
    <w:rsid w:val="00DD7576"/>
    <w:rsid w:val="00DE396D"/>
    <w:rsid w:val="00DF38A9"/>
    <w:rsid w:val="00E05646"/>
    <w:rsid w:val="00E11634"/>
    <w:rsid w:val="00E1797B"/>
    <w:rsid w:val="00E21D49"/>
    <w:rsid w:val="00E24FE5"/>
    <w:rsid w:val="00E33A45"/>
    <w:rsid w:val="00E352A0"/>
    <w:rsid w:val="00E41842"/>
    <w:rsid w:val="00E46AA8"/>
    <w:rsid w:val="00E47C80"/>
    <w:rsid w:val="00E62EA8"/>
    <w:rsid w:val="00E672AF"/>
    <w:rsid w:val="00E679CB"/>
    <w:rsid w:val="00E74F2A"/>
    <w:rsid w:val="00E83E14"/>
    <w:rsid w:val="00E85B1A"/>
    <w:rsid w:val="00E90909"/>
    <w:rsid w:val="00E93A7F"/>
    <w:rsid w:val="00E954BA"/>
    <w:rsid w:val="00E967B3"/>
    <w:rsid w:val="00EA0DBC"/>
    <w:rsid w:val="00ED2680"/>
    <w:rsid w:val="00EF3848"/>
    <w:rsid w:val="00F11FBC"/>
    <w:rsid w:val="00F22801"/>
    <w:rsid w:val="00F32812"/>
    <w:rsid w:val="00F36BFB"/>
    <w:rsid w:val="00F43348"/>
    <w:rsid w:val="00F47AE0"/>
    <w:rsid w:val="00F47BBB"/>
    <w:rsid w:val="00F50A19"/>
    <w:rsid w:val="00F52359"/>
    <w:rsid w:val="00F557C5"/>
    <w:rsid w:val="00F775D3"/>
    <w:rsid w:val="00F843F2"/>
    <w:rsid w:val="00F8572A"/>
    <w:rsid w:val="00F87815"/>
    <w:rsid w:val="00FB2D1D"/>
    <w:rsid w:val="00FC2CEB"/>
    <w:rsid w:val="00FC37F8"/>
    <w:rsid w:val="00FC3933"/>
    <w:rsid w:val="00FE0F52"/>
    <w:rsid w:val="00FE69C7"/>
    <w:rsid w:val="00FF10FC"/>
    <w:rsid w:val="00F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B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B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7B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7BBB"/>
    <w:rPr>
      <w:sz w:val="18"/>
      <w:szCs w:val="18"/>
    </w:rPr>
  </w:style>
  <w:style w:type="table" w:styleId="-3">
    <w:name w:val="Light List Accent 3"/>
    <w:basedOn w:val="a1"/>
    <w:uiPriority w:val="61"/>
    <w:rsid w:val="00C91B51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6">
    <w:name w:val="Table Grid"/>
    <w:basedOn w:val="a1"/>
    <w:uiPriority w:val="59"/>
    <w:rsid w:val="00C91B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C91B5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91B5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91B5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中等深浅底纹 2 - 强调文字颜色 11"/>
    <w:basedOn w:val="a1"/>
    <w:uiPriority w:val="64"/>
    <w:rsid w:val="00C91B5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91B5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8B10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8"/>
  <c:chart>
    <c:title>
      <c:tx>
        <c:rich>
          <a:bodyPr/>
          <a:lstStyle/>
          <a:p>
            <a:pPr>
              <a:defRPr/>
            </a:pPr>
            <a:r>
              <a:rPr lang="zh-CN" altLang="en-US"/>
              <a:t>年度营业额变化（亿元）</a:t>
            </a:r>
          </a:p>
        </c:rich>
      </c:tx>
      <c:layout>
        <c:manualLayout>
          <c:xMode val="edge"/>
          <c:yMode val="edge"/>
          <c:x val="0.23967263183011214"/>
          <c:y val="6.2893081761006497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年度营业额变化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7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8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9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1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2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howVal val="1"/>
          </c:dLbls>
          <c:cat>
            <c:numRef>
              <c:f>Sheet1!$A$2:$A$16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numCache>
            </c:num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15</c:v>
                </c:pt>
                <c:pt idx="1">
                  <c:v>20</c:v>
                </c:pt>
                <c:pt idx="2">
                  <c:v>25</c:v>
                </c:pt>
                <c:pt idx="3">
                  <c:v>33</c:v>
                </c:pt>
                <c:pt idx="4">
                  <c:v>45</c:v>
                </c:pt>
                <c:pt idx="5">
                  <c:v>60</c:v>
                </c:pt>
                <c:pt idx="6">
                  <c:v>80</c:v>
                </c:pt>
                <c:pt idx="7">
                  <c:v>108</c:v>
                </c:pt>
                <c:pt idx="8">
                  <c:v>140</c:v>
                </c:pt>
                <c:pt idx="9">
                  <c:v>165</c:v>
                </c:pt>
                <c:pt idx="10">
                  <c:v>210</c:v>
                </c:pt>
                <c:pt idx="11">
                  <c:v>260</c:v>
                </c:pt>
                <c:pt idx="12">
                  <c:v>303</c:v>
                </c:pt>
                <c:pt idx="13">
                  <c:v>341</c:v>
                </c:pt>
                <c:pt idx="14">
                  <c:v>380</c:v>
                </c:pt>
              </c:numCache>
            </c:numRef>
          </c:val>
        </c:ser>
        <c:dLbls>
          <c:showVal val="1"/>
        </c:dLbls>
        <c:shape val="box"/>
        <c:axId val="117201536"/>
        <c:axId val="117211520"/>
        <c:axId val="0"/>
      </c:bar3DChart>
      <c:catAx>
        <c:axId val="11720153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zh-CN"/>
          </a:p>
        </c:txPr>
        <c:crossAx val="117211520"/>
        <c:crosses val="autoZero"/>
        <c:auto val="1"/>
        <c:lblAlgn val="ctr"/>
        <c:lblOffset val="100"/>
      </c:catAx>
      <c:valAx>
        <c:axId val="117211520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172015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8"/>
  <c:chart>
    <c:title>
      <c:tx>
        <c:rich>
          <a:bodyPr/>
          <a:lstStyle/>
          <a:p>
            <a:pPr>
              <a:defRPr/>
            </a:pPr>
            <a:r>
              <a:rPr lang="zh-CN" sz="1600">
                <a:latin typeface="华文中宋" pitchFamily="2" charset="-122"/>
                <a:ea typeface="华文中宋" pitchFamily="2" charset="-122"/>
              </a:rPr>
              <a:t>业务类型市场构成（公司数）</a:t>
            </a:r>
            <a:endParaRPr lang="en-US" sz="1600">
              <a:latin typeface="华文中宋" pitchFamily="2" charset="-122"/>
              <a:ea typeface="华文中宋" pitchFamily="2" charset="-122"/>
            </a:endParaRPr>
          </a:p>
        </c:rich>
      </c:tx>
      <c:layout>
        <c:manualLayout>
          <c:xMode val="edge"/>
          <c:yMode val="edge"/>
          <c:x val="0.25656739933754458"/>
          <c:y val="3.5714285714285712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2013年</c:v>
                </c:pt>
              </c:strCache>
            </c:strRef>
          </c:tx>
          <c:dLbls>
            <c:dLblPos val="outEnd"/>
            <c:showVal val="1"/>
          </c:dLbls>
          <c:cat>
            <c:strRef>
              <c:f>Sheet1!$A$2:$A$5</c:f>
              <c:strCache>
                <c:ptCount val="4"/>
                <c:pt idx="0">
                  <c:v>顾问咨询</c:v>
                </c:pt>
                <c:pt idx="1">
                  <c:v>传播代理及媒体执行</c:v>
                </c:pt>
                <c:pt idx="2">
                  <c:v>活动代理</c:v>
                </c:pt>
                <c:pt idx="3">
                  <c:v>网络公关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6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2014年</c:v>
                </c:pt>
              </c:strCache>
            </c:strRef>
          </c:tx>
          <c:dLbls>
            <c:dLblPos val="inEnd"/>
            <c:showVal val="1"/>
          </c:dLbls>
          <c:cat>
            <c:strRef>
              <c:f>Sheet1!$A$2:$A$5</c:f>
              <c:strCache>
                <c:ptCount val="4"/>
                <c:pt idx="0">
                  <c:v>顾问咨询</c:v>
                </c:pt>
                <c:pt idx="1">
                  <c:v>传播代理及媒体执行</c:v>
                </c:pt>
                <c:pt idx="2">
                  <c:v>活动代理</c:v>
                </c:pt>
                <c:pt idx="3">
                  <c:v>网络公关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</c:ser>
        <c:dLbls>
          <c:showVal val="1"/>
        </c:dLbls>
        <c:gapWidth val="55"/>
        <c:axId val="119050624"/>
        <c:axId val="119052160"/>
      </c:barChart>
      <c:catAx>
        <c:axId val="119050624"/>
        <c:scaling>
          <c:orientation val="minMax"/>
        </c:scaling>
        <c:axPos val="l"/>
        <c:numFmt formatCode="General" sourceLinked="1"/>
        <c:majorTickMark val="none"/>
        <c:tickLblPos val="nextTo"/>
        <c:crossAx val="119052160"/>
        <c:crosses val="autoZero"/>
        <c:auto val="1"/>
        <c:lblAlgn val="ctr"/>
        <c:lblOffset val="100"/>
      </c:catAx>
      <c:valAx>
        <c:axId val="11905216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190506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8"/>
  <c:chart>
    <c:title>
      <c:tx>
        <c:rich>
          <a:bodyPr/>
          <a:lstStyle/>
          <a:p>
            <a:pPr>
              <a:defRPr/>
            </a:pPr>
            <a:r>
              <a:rPr lang="zh-CN" sz="1600">
                <a:latin typeface="华文中宋" pitchFamily="2" charset="-122"/>
                <a:ea typeface="华文中宋" pitchFamily="2" charset="-122"/>
              </a:rPr>
              <a:t>业务</a:t>
            </a:r>
            <a:r>
              <a:rPr lang="zh-CN" altLang="en-US" sz="1600">
                <a:latin typeface="华文中宋" pitchFamily="2" charset="-122"/>
                <a:ea typeface="华文中宋" pitchFamily="2" charset="-122"/>
              </a:rPr>
              <a:t>潜力</a:t>
            </a:r>
            <a:r>
              <a:rPr lang="zh-CN" sz="1600">
                <a:latin typeface="华文中宋" pitchFamily="2" charset="-122"/>
                <a:ea typeface="华文中宋" pitchFamily="2" charset="-122"/>
              </a:rPr>
              <a:t>市场构成（公司数）</a:t>
            </a:r>
            <a:endParaRPr lang="en-US" sz="1600">
              <a:latin typeface="华文中宋" pitchFamily="2" charset="-122"/>
              <a:ea typeface="华文中宋" pitchFamily="2" charset="-122"/>
            </a:endParaRPr>
          </a:p>
        </c:rich>
      </c:tx>
      <c:layout>
        <c:manualLayout>
          <c:xMode val="edge"/>
          <c:yMode val="edge"/>
          <c:x val="0.27714537478147366"/>
          <c:y val="3.2421479229989891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2013年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Sheet1!$A$2:$A$11</c:f>
              <c:strCache>
                <c:ptCount val="10"/>
                <c:pt idx="0">
                  <c:v>事件营销</c:v>
                </c:pt>
                <c:pt idx="1">
                  <c:v>娱乐营销</c:v>
                </c:pt>
                <c:pt idx="2">
                  <c:v>体育营销</c:v>
                </c:pt>
                <c:pt idx="3">
                  <c:v>网络公关</c:v>
                </c:pt>
                <c:pt idx="4">
                  <c:v>危机管理</c:v>
                </c:pt>
                <c:pt idx="5">
                  <c:v>议题管理</c:v>
                </c:pt>
                <c:pt idx="6">
                  <c:v>政府关系</c:v>
                </c:pt>
                <c:pt idx="7">
                  <c:v>CSR项目</c:v>
                </c:pt>
                <c:pt idx="8">
                  <c:v>城市营销</c:v>
                </c:pt>
                <c:pt idx="9">
                  <c:v>其他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21</c:v>
                </c:pt>
                <c:pt idx="1">
                  <c:v>7</c:v>
                </c:pt>
                <c:pt idx="2">
                  <c:v>4</c:v>
                </c:pt>
                <c:pt idx="3">
                  <c:v>22</c:v>
                </c:pt>
                <c:pt idx="4">
                  <c:v>13</c:v>
                </c:pt>
                <c:pt idx="5">
                  <c:v>5</c:v>
                </c:pt>
                <c:pt idx="6">
                  <c:v>9</c:v>
                </c:pt>
                <c:pt idx="7">
                  <c:v>8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2014年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Sheet1!$A$2:$A$11</c:f>
              <c:strCache>
                <c:ptCount val="10"/>
                <c:pt idx="0">
                  <c:v>事件营销</c:v>
                </c:pt>
                <c:pt idx="1">
                  <c:v>娱乐营销</c:v>
                </c:pt>
                <c:pt idx="2">
                  <c:v>体育营销</c:v>
                </c:pt>
                <c:pt idx="3">
                  <c:v>网络公关</c:v>
                </c:pt>
                <c:pt idx="4">
                  <c:v>危机管理</c:v>
                </c:pt>
                <c:pt idx="5">
                  <c:v>议题管理</c:v>
                </c:pt>
                <c:pt idx="6">
                  <c:v>政府关系</c:v>
                </c:pt>
                <c:pt idx="7">
                  <c:v>CSR项目</c:v>
                </c:pt>
                <c:pt idx="8">
                  <c:v>城市营销</c:v>
                </c:pt>
                <c:pt idx="9">
                  <c:v>其他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21</c:v>
                </c:pt>
                <c:pt idx="1">
                  <c:v>14</c:v>
                </c:pt>
                <c:pt idx="2">
                  <c:v>6</c:v>
                </c:pt>
                <c:pt idx="3">
                  <c:v>23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Val val="1"/>
        </c:dLbls>
        <c:gapWidth val="55"/>
        <c:axId val="119073792"/>
        <c:axId val="54072064"/>
      </c:barChart>
      <c:catAx>
        <c:axId val="119073792"/>
        <c:scaling>
          <c:orientation val="minMax"/>
        </c:scaling>
        <c:axPos val="l"/>
        <c:numFmt formatCode="General" sourceLinked="1"/>
        <c:majorTickMark val="none"/>
        <c:tickLblPos val="nextTo"/>
        <c:crossAx val="54072064"/>
        <c:crosses val="autoZero"/>
        <c:auto val="1"/>
        <c:lblAlgn val="ctr"/>
        <c:lblOffset val="100"/>
      </c:catAx>
      <c:valAx>
        <c:axId val="5407206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190737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8"/>
  <c:chart>
    <c:title>
      <c:tx>
        <c:rich>
          <a:bodyPr/>
          <a:lstStyle/>
          <a:p>
            <a:pPr>
              <a:defRPr/>
            </a:pPr>
            <a:r>
              <a:rPr lang="zh-CN" altLang="en-US" sz="1600" b="1" i="0" u="none" strike="noStrike" baseline="0">
                <a:latin typeface="华文中宋" pitchFamily="2" charset="-122"/>
                <a:ea typeface="华文中宋" pitchFamily="2" charset="-122"/>
              </a:rPr>
              <a:t>网络公关服务构成（公司数）</a:t>
            </a:r>
            <a:endParaRPr lang="zh-CN" sz="1600">
              <a:latin typeface="华文中宋" pitchFamily="2" charset="-122"/>
              <a:ea typeface="华文中宋" pitchFamily="2" charset="-122"/>
            </a:endParaRPr>
          </a:p>
        </c:rich>
      </c:tx>
      <c:layout>
        <c:manualLayout>
          <c:xMode val="edge"/>
          <c:yMode val="edge"/>
          <c:x val="0.24607503161550989"/>
          <c:y val="3.1007751937984489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dLbls>
            <c:dLblPos val="inEnd"/>
            <c:showVal val="1"/>
          </c:dLbls>
          <c:cat>
            <c:strRef>
              <c:f>Sheet1!$A$2:$A$8</c:f>
              <c:strCache>
                <c:ptCount val="7"/>
                <c:pt idx="0">
                  <c:v>舆情监测</c:v>
                </c:pt>
                <c:pt idx="1">
                  <c:v>危机处理</c:v>
                </c:pt>
                <c:pt idx="2">
                  <c:v>产品推广</c:v>
                </c:pt>
                <c:pt idx="3">
                  <c:v>企业传播</c:v>
                </c:pt>
                <c:pt idx="4">
                  <c:v>事件营销</c:v>
                </c:pt>
                <c:pt idx="5">
                  <c:v>口碑营销</c:v>
                </c:pt>
                <c:pt idx="6">
                  <c:v>整合传播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19</c:v>
                </c:pt>
                <c:pt idx="1">
                  <c:v>15</c:v>
                </c:pt>
                <c:pt idx="2">
                  <c:v>30</c:v>
                </c:pt>
                <c:pt idx="3">
                  <c:v>25</c:v>
                </c:pt>
                <c:pt idx="4">
                  <c:v>21</c:v>
                </c:pt>
                <c:pt idx="5">
                  <c:v>23</c:v>
                </c:pt>
                <c:pt idx="6">
                  <c:v>26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dLbls>
            <c:dLblPos val="outEnd"/>
            <c:showVal val="1"/>
          </c:dLbls>
          <c:cat>
            <c:strRef>
              <c:f>Sheet1!$A$2:$A$8</c:f>
              <c:strCache>
                <c:ptCount val="7"/>
                <c:pt idx="0">
                  <c:v>舆情监测</c:v>
                </c:pt>
                <c:pt idx="1">
                  <c:v>危机处理</c:v>
                </c:pt>
                <c:pt idx="2">
                  <c:v>产品推广</c:v>
                </c:pt>
                <c:pt idx="3">
                  <c:v>企业传播</c:v>
                </c:pt>
                <c:pt idx="4">
                  <c:v>事件营销</c:v>
                </c:pt>
                <c:pt idx="5">
                  <c:v>口碑营销</c:v>
                </c:pt>
                <c:pt idx="6">
                  <c:v>整合传播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16</c:v>
                </c:pt>
                <c:pt idx="1">
                  <c:v>15</c:v>
                </c:pt>
                <c:pt idx="2">
                  <c:v>30</c:v>
                </c:pt>
                <c:pt idx="3">
                  <c:v>30</c:v>
                </c:pt>
                <c:pt idx="4">
                  <c:v>24</c:v>
                </c:pt>
                <c:pt idx="5">
                  <c:v>22</c:v>
                </c:pt>
                <c:pt idx="6">
                  <c:v>26</c:v>
                </c:pt>
              </c:numCache>
            </c:numRef>
          </c:val>
        </c:ser>
        <c:dLbls>
          <c:showVal val="1"/>
        </c:dLbls>
        <c:gapWidth val="55"/>
        <c:axId val="54110080"/>
        <c:axId val="54111616"/>
      </c:barChart>
      <c:catAx>
        <c:axId val="54110080"/>
        <c:scaling>
          <c:orientation val="minMax"/>
        </c:scaling>
        <c:axPos val="l"/>
        <c:numFmt formatCode="General" sourceLinked="1"/>
        <c:majorTickMark val="none"/>
        <c:tickLblPos val="nextTo"/>
        <c:crossAx val="54111616"/>
        <c:crosses val="autoZero"/>
        <c:auto val="1"/>
        <c:lblAlgn val="ctr"/>
        <c:lblOffset val="100"/>
      </c:catAx>
      <c:valAx>
        <c:axId val="5411161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541100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18EE-47F8-4D74-BCBF-F193EA08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10</Pages>
  <Words>960</Words>
  <Characters>5475</Characters>
  <Application>Microsoft Office Word</Application>
  <DocSecurity>0</DocSecurity>
  <Lines>45</Lines>
  <Paragraphs>12</Paragraphs>
  <ScaleCrop>false</ScaleCrop>
  <Company>Lenovo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133</cp:revision>
  <cp:lastPrinted>2015-04-15T07:03:00Z</cp:lastPrinted>
  <dcterms:created xsi:type="dcterms:W3CDTF">2014-04-10T07:50:00Z</dcterms:created>
  <dcterms:modified xsi:type="dcterms:W3CDTF">2015-04-15T07:41:00Z</dcterms:modified>
</cp:coreProperties>
</file>