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C0" w:rsidRDefault="007C06C0" w:rsidP="00886838">
      <w:pPr>
        <w:spacing w:beforeLines="50" w:afterLines="50"/>
        <w:jc w:val="center"/>
        <w:rPr>
          <w:rFonts w:ascii="黑体" w:eastAsia="黑体" w:hAnsi="宋体"/>
          <w:b/>
          <w:sz w:val="44"/>
        </w:rPr>
      </w:pPr>
      <w:r>
        <w:rPr>
          <w:rFonts w:ascii="黑体" w:eastAsia="黑体" w:hAnsi="宋体" w:hint="eastAsia"/>
          <w:b/>
          <w:sz w:val="44"/>
        </w:rPr>
        <w:t>中国公共关系业</w:t>
      </w:r>
      <w:r>
        <w:rPr>
          <w:rFonts w:ascii="黑体" w:eastAsia="黑体" w:hAnsi="宋体"/>
          <w:b/>
          <w:sz w:val="44"/>
        </w:rPr>
        <w:t>2012</w:t>
      </w:r>
      <w:r>
        <w:rPr>
          <w:rFonts w:ascii="黑体" w:eastAsia="黑体" w:hAnsi="宋体" w:hint="eastAsia"/>
          <w:b/>
          <w:sz w:val="44"/>
        </w:rPr>
        <w:t>年度调查报告</w:t>
      </w:r>
    </w:p>
    <w:p w:rsidR="007C06C0" w:rsidRPr="00BC367B" w:rsidRDefault="007C06C0" w:rsidP="00886838">
      <w:pPr>
        <w:spacing w:beforeLines="100" w:afterLines="50"/>
        <w:ind w:firstLineChars="200" w:firstLine="420"/>
        <w:rPr>
          <w:rFonts w:ascii="Times New Roman" w:hAnsi="Times New Roman"/>
          <w:color w:val="FF0000"/>
        </w:rPr>
      </w:pPr>
      <w:r w:rsidRPr="00590E67">
        <w:rPr>
          <w:rFonts w:ascii="Times New Roman" w:hAnsi="宋体" w:hint="eastAsia"/>
        </w:rPr>
        <w:t>为反映</w:t>
      </w:r>
      <w:r w:rsidRPr="00590E67">
        <w:rPr>
          <w:rFonts w:ascii="Times New Roman" w:hAnsi="Times New Roman"/>
        </w:rPr>
        <w:t>2012</w:t>
      </w:r>
      <w:r w:rsidRPr="00590E67">
        <w:rPr>
          <w:rFonts w:ascii="Times New Roman" w:hAnsi="宋体" w:hint="eastAsia"/>
        </w:rPr>
        <w:t>年度公共关系服务市场的运行态势，正确评价中国公共关系业的发展状况，为专业机构提供积极的行业指引，</w:t>
      </w:r>
      <w:r w:rsidRPr="00590E67">
        <w:rPr>
          <w:rFonts w:ascii="Times New Roman" w:hAnsi="Times New Roman"/>
        </w:rPr>
        <w:t>2</w:t>
      </w:r>
      <w:r w:rsidRPr="00590E67">
        <w:rPr>
          <w:rFonts w:ascii="Times New Roman" w:hAnsi="宋体" w:hint="eastAsia"/>
        </w:rPr>
        <w:t>月</w:t>
      </w:r>
      <w:r w:rsidRPr="00590E67">
        <w:rPr>
          <w:rFonts w:ascii="Times New Roman" w:hAnsi="Times New Roman"/>
        </w:rPr>
        <w:t>22</w:t>
      </w:r>
      <w:r w:rsidRPr="00590E67">
        <w:rPr>
          <w:rFonts w:ascii="Times New Roman" w:hAnsi="宋体" w:hint="eastAsia"/>
        </w:rPr>
        <w:t>日至</w:t>
      </w:r>
      <w:r w:rsidRPr="00590E67">
        <w:rPr>
          <w:rFonts w:ascii="Times New Roman" w:hAnsi="Times New Roman"/>
        </w:rPr>
        <w:t>3</w:t>
      </w:r>
      <w:r w:rsidRPr="00590E67">
        <w:rPr>
          <w:rFonts w:ascii="Times New Roman" w:hAnsi="宋体" w:hint="eastAsia"/>
        </w:rPr>
        <w:t>月</w:t>
      </w:r>
      <w:r w:rsidRPr="00590E67">
        <w:rPr>
          <w:rFonts w:ascii="Times New Roman" w:hAnsi="Times New Roman"/>
        </w:rPr>
        <w:t>29</w:t>
      </w:r>
      <w:r w:rsidRPr="00590E67">
        <w:rPr>
          <w:rFonts w:ascii="Times New Roman" w:hAnsi="宋体" w:hint="eastAsia"/>
        </w:rPr>
        <w:t>日，中国国际公共关系协会（</w:t>
      </w:r>
      <w:r w:rsidRPr="00590E67">
        <w:rPr>
          <w:rFonts w:ascii="Times New Roman" w:hAnsi="Times New Roman"/>
        </w:rPr>
        <w:t>CIPRA</w:t>
      </w:r>
      <w:r w:rsidRPr="00590E67">
        <w:rPr>
          <w:rFonts w:ascii="Times New Roman" w:hAnsi="宋体" w:hint="eastAsia"/>
        </w:rPr>
        <w:t>）对</w:t>
      </w:r>
      <w:r w:rsidRPr="00590E67">
        <w:rPr>
          <w:rFonts w:ascii="Times New Roman" w:hAnsi="Times New Roman" w:hint="eastAsia"/>
        </w:rPr>
        <w:t>中国大陆境内主要公共关系公司</w:t>
      </w:r>
      <w:r w:rsidRPr="00590E67">
        <w:rPr>
          <w:rFonts w:ascii="Times New Roman" w:hAnsi="宋体" w:hint="eastAsia"/>
        </w:rPr>
        <w:t>进行为期</w:t>
      </w:r>
      <w:r w:rsidRPr="00590E67">
        <w:rPr>
          <w:rFonts w:ascii="Times New Roman" w:hAnsi="Times New Roman"/>
        </w:rPr>
        <w:t>36</w:t>
      </w:r>
      <w:r w:rsidRPr="00590E67">
        <w:rPr>
          <w:rFonts w:ascii="Times New Roman" w:hAnsi="宋体" w:hint="eastAsia"/>
        </w:rPr>
        <w:t>天的</w:t>
      </w:r>
      <w:r w:rsidR="00BC367B" w:rsidRPr="00316B3D">
        <w:rPr>
          <w:rFonts w:ascii="Times New Roman" w:hAnsi="宋体" w:hint="eastAsia"/>
        </w:rPr>
        <w:t>行业调查</w:t>
      </w:r>
      <w:r w:rsidRPr="00590E67">
        <w:rPr>
          <w:rFonts w:ascii="Times New Roman" w:hAnsi="宋体" w:hint="eastAsia"/>
        </w:rPr>
        <w:t>。</w:t>
      </w:r>
    </w:p>
    <w:p w:rsidR="007C06C0" w:rsidRPr="00590E67" w:rsidRDefault="007C06C0" w:rsidP="00886838">
      <w:pPr>
        <w:spacing w:beforeLines="50" w:afterLines="50"/>
        <w:ind w:firstLineChars="200" w:firstLine="420"/>
        <w:rPr>
          <w:rFonts w:ascii="Times New Roman" w:hAnsi="Times New Roman"/>
          <w:b/>
          <w:bCs/>
        </w:rPr>
      </w:pPr>
      <w:r w:rsidRPr="00590E67">
        <w:rPr>
          <w:rFonts w:ascii="Times New Roman" w:hAnsi="宋体" w:hint="eastAsia"/>
        </w:rPr>
        <w:t>项目组采用问卷调查的方法对</w:t>
      </w:r>
      <w:r w:rsidRPr="00590E67">
        <w:rPr>
          <w:rFonts w:ascii="Times New Roman" w:hAnsi="Times New Roman"/>
        </w:rPr>
        <w:t>2012</w:t>
      </w:r>
      <w:r w:rsidRPr="00590E67">
        <w:rPr>
          <w:rFonts w:ascii="Times New Roman" w:hAnsi="宋体" w:hint="eastAsia"/>
        </w:rPr>
        <w:t>年度全国主要公关公司进行抽样</w:t>
      </w:r>
      <w:r w:rsidRPr="00590E67">
        <w:rPr>
          <w:rFonts w:ascii="Times New Roman" w:hAnsi="Times New Roman" w:hint="eastAsia"/>
        </w:rPr>
        <w:t>调查，内容涉及</w:t>
      </w:r>
      <w:r w:rsidRPr="00590E67">
        <w:rPr>
          <w:rFonts w:ascii="Times New Roman" w:hAnsi="宋体" w:hint="eastAsia"/>
        </w:rPr>
        <w:t>运营管理、业务发展和可持续发展</w:t>
      </w:r>
      <w:r w:rsidRPr="00590E67">
        <w:rPr>
          <w:rFonts w:ascii="Times New Roman" w:hAnsi="Times New Roman" w:hint="eastAsia"/>
        </w:rPr>
        <w:t>等方面。本次调查向行业主要规模公司发送问卷</w:t>
      </w:r>
      <w:r w:rsidRPr="00590E67">
        <w:rPr>
          <w:rFonts w:ascii="Times New Roman" w:hAnsi="Times New Roman"/>
        </w:rPr>
        <w:t>100</w:t>
      </w:r>
      <w:r w:rsidRPr="00590E67">
        <w:rPr>
          <w:rFonts w:ascii="Times New Roman" w:hAnsi="Times New Roman" w:hint="eastAsia"/>
        </w:rPr>
        <w:t>份，</w:t>
      </w:r>
      <w:r w:rsidRPr="00590E67">
        <w:rPr>
          <w:rFonts w:ascii="Times New Roman" w:hAnsi="宋体" w:hint="eastAsia"/>
        </w:rPr>
        <w:t>收回问卷</w:t>
      </w:r>
      <w:r>
        <w:rPr>
          <w:rFonts w:ascii="Times New Roman" w:hAnsi="Times New Roman"/>
        </w:rPr>
        <w:t>80</w:t>
      </w:r>
      <w:r w:rsidRPr="00590E67">
        <w:rPr>
          <w:rFonts w:ascii="Times New Roman" w:hAnsi="宋体" w:hint="eastAsia"/>
        </w:rPr>
        <w:t>份，其中</w:t>
      </w:r>
      <w:r w:rsidRPr="00590E67">
        <w:rPr>
          <w:rFonts w:ascii="Times New Roman" w:hAnsi="Times New Roman" w:hint="eastAsia"/>
        </w:rPr>
        <w:t>有效问卷</w:t>
      </w:r>
      <w:r>
        <w:rPr>
          <w:rFonts w:ascii="Times New Roman" w:hAnsi="Times New Roman"/>
        </w:rPr>
        <w:t>78</w:t>
      </w:r>
      <w:r w:rsidRPr="00590E67">
        <w:rPr>
          <w:rFonts w:ascii="Times New Roman" w:hAnsi="Times New Roman" w:hint="eastAsia"/>
        </w:rPr>
        <w:t>份</w:t>
      </w:r>
      <w:r w:rsidR="00316B3D">
        <w:rPr>
          <w:rFonts w:ascii="Times New Roman" w:hAnsi="宋体" w:hint="eastAsia"/>
        </w:rPr>
        <w:t>，其中，</w:t>
      </w:r>
      <w:bookmarkStart w:id="0" w:name="OLE_LINK55"/>
      <w:bookmarkStart w:id="1" w:name="OLE_LINK56"/>
      <w:r w:rsidR="00316B3D">
        <w:rPr>
          <w:rFonts w:ascii="Times New Roman" w:hAnsi="宋体" w:hint="eastAsia"/>
        </w:rPr>
        <w:t>中国</w:t>
      </w:r>
      <w:r w:rsidR="009941B3">
        <w:rPr>
          <w:rFonts w:ascii="Times New Roman" w:hAnsi="宋体" w:hint="eastAsia"/>
        </w:rPr>
        <w:t>大陆</w:t>
      </w:r>
      <w:r w:rsidR="00316B3D">
        <w:rPr>
          <w:rFonts w:ascii="Times New Roman" w:hAnsi="宋体" w:hint="eastAsia"/>
        </w:rPr>
        <w:t>境内主要国际性公关公司均参与本次调查，是历年来参与数量最多的一次。</w:t>
      </w:r>
    </w:p>
    <w:bookmarkEnd w:id="0"/>
    <w:bookmarkEnd w:id="1"/>
    <w:p w:rsidR="007C06C0" w:rsidRPr="00590E67" w:rsidRDefault="007C06C0" w:rsidP="00886838">
      <w:pPr>
        <w:spacing w:beforeLines="50" w:afterLines="50"/>
        <w:ind w:firstLine="420"/>
        <w:rPr>
          <w:rFonts w:ascii="Times New Roman" w:hAnsi="Times New Roman"/>
        </w:rPr>
      </w:pPr>
      <w:r w:rsidRPr="00590E67">
        <w:rPr>
          <w:rFonts w:ascii="Times New Roman" w:hAnsi="宋体" w:hint="eastAsia"/>
        </w:rPr>
        <w:t>项目组对问卷所取得的数据进行了科学统计，并依据行业经验和历史数据进行了相关核实和判断，在科学分析基础上形成本调查报告。本报告由年度排行榜、行业调查分析、</w:t>
      </w:r>
      <w:r w:rsidRPr="00590E67">
        <w:rPr>
          <w:rFonts w:ascii="Times New Roman" w:hAnsi="Times New Roman"/>
        </w:rPr>
        <w:t>TOP</w:t>
      </w:r>
      <w:r w:rsidRPr="00590E67">
        <w:rPr>
          <w:rFonts w:ascii="Times New Roman" w:hAnsi="宋体" w:hint="eastAsia"/>
        </w:rPr>
        <w:t>公司研究</w:t>
      </w:r>
      <w:r>
        <w:rPr>
          <w:rFonts w:ascii="Times New Roman" w:hAnsi="宋体" w:hint="eastAsia"/>
        </w:rPr>
        <w:t>、国际性公司研究、最具成长性公司研究</w:t>
      </w:r>
      <w:r w:rsidRPr="00590E67">
        <w:rPr>
          <w:rFonts w:ascii="Times New Roman" w:hAnsi="宋体" w:hint="eastAsia"/>
        </w:rPr>
        <w:t>及行业发展与挑战</w:t>
      </w:r>
      <w:r>
        <w:rPr>
          <w:rFonts w:ascii="Times New Roman" w:hAnsi="宋体" w:hint="eastAsia"/>
        </w:rPr>
        <w:t>六</w:t>
      </w:r>
      <w:r w:rsidRPr="00590E67">
        <w:rPr>
          <w:rFonts w:ascii="Times New Roman" w:hAnsi="宋体" w:hint="eastAsia"/>
        </w:rPr>
        <w:t>个部分组成。</w:t>
      </w:r>
    </w:p>
    <w:p w:rsidR="007C06C0" w:rsidRPr="006D4E3A" w:rsidRDefault="007C06C0" w:rsidP="00886838">
      <w:pPr>
        <w:spacing w:beforeLines="50" w:afterLines="50"/>
        <w:rPr>
          <w:rFonts w:ascii="宋体"/>
          <w:b/>
          <w:bCs/>
        </w:rPr>
      </w:pPr>
    </w:p>
    <w:p w:rsidR="007C06C0" w:rsidRDefault="007C06C0" w:rsidP="00886838">
      <w:pPr>
        <w:spacing w:beforeLines="50" w:afterLines="50"/>
        <w:rPr>
          <w:rFonts w:ascii="宋体"/>
          <w:b/>
          <w:bCs/>
        </w:rPr>
      </w:pPr>
      <w:r>
        <w:rPr>
          <w:rFonts w:ascii="宋体" w:hAnsi="宋体" w:hint="eastAsia"/>
          <w:b/>
          <w:bCs/>
        </w:rPr>
        <w:t>报告说明：</w:t>
      </w:r>
    </w:p>
    <w:p w:rsidR="007C06C0" w:rsidRDefault="007C06C0" w:rsidP="00886838">
      <w:pPr>
        <w:spacing w:beforeLines="50" w:afterLines="50"/>
        <w:ind w:firstLineChars="200" w:firstLine="420"/>
        <w:rPr>
          <w:rFonts w:ascii="宋体"/>
        </w:rPr>
      </w:pPr>
      <w:r>
        <w:rPr>
          <w:rFonts w:ascii="宋体" w:hAnsi="宋体"/>
        </w:rPr>
        <w:t>1.</w:t>
      </w:r>
      <w:r>
        <w:rPr>
          <w:rFonts w:ascii="宋体" w:hAnsi="宋体" w:hint="eastAsia"/>
        </w:rPr>
        <w:t>本报告所涉及的调查内容仅涉及中国内地的公共关系服务，不包括被访者的广告及其他制作业务；</w:t>
      </w:r>
    </w:p>
    <w:p w:rsidR="00867D7F" w:rsidRPr="00867D7F" w:rsidRDefault="00867D7F" w:rsidP="00886838">
      <w:pPr>
        <w:spacing w:beforeLines="50" w:afterLines="50"/>
        <w:ind w:firstLine="420"/>
        <w:rPr>
          <w:rFonts w:ascii="宋体" w:hAnsi="宋体"/>
        </w:rPr>
      </w:pPr>
      <w:r w:rsidRPr="00867D7F">
        <w:rPr>
          <w:rFonts w:ascii="宋体" w:hAnsi="宋体" w:hint="eastAsia"/>
        </w:rPr>
        <w:t xml:space="preserve">2.本报告所访问的对象为公司主要负责人，他们在接受调查时均声明代表公司的意志，所提供的信息均是真实、准确和有效的； </w:t>
      </w:r>
    </w:p>
    <w:p w:rsidR="00867D7F" w:rsidRPr="00867D7F" w:rsidRDefault="00867D7F" w:rsidP="00886838">
      <w:pPr>
        <w:spacing w:beforeLines="50" w:afterLines="50"/>
        <w:ind w:firstLine="420"/>
        <w:rPr>
          <w:rFonts w:ascii="宋体" w:hAnsi="宋体"/>
        </w:rPr>
      </w:pPr>
      <w:r w:rsidRPr="00867D7F">
        <w:rPr>
          <w:rFonts w:ascii="宋体" w:hAnsi="宋体" w:hint="eastAsia"/>
        </w:rPr>
        <w:t xml:space="preserve">3.本报告所依据的调查数据为被访者所提供的数据，尽管访问者对这些数据做了相关核实但本报告并不为这些数据的真实性提供保证； </w:t>
      </w:r>
    </w:p>
    <w:p w:rsidR="007C06C0" w:rsidRDefault="007C06C0" w:rsidP="00886838">
      <w:pPr>
        <w:spacing w:beforeLines="50" w:afterLines="50"/>
        <w:ind w:firstLine="420"/>
        <w:rPr>
          <w:rFonts w:ascii="宋体"/>
        </w:rPr>
      </w:pPr>
      <w:r>
        <w:rPr>
          <w:rFonts w:ascii="宋体" w:hAnsi="宋体"/>
        </w:rPr>
        <w:t>4.</w:t>
      </w:r>
      <w:r>
        <w:rPr>
          <w:rFonts w:ascii="宋体" w:hAnsi="宋体" w:hint="eastAsia"/>
        </w:rPr>
        <w:t>本报告所发表的数据和结论以被访者提交的数据为基础，经过统计分析和行业判断，并加以测试和修正，这些数据不一定完全符合真实情况但能反映行业发展基本面的情况；</w:t>
      </w:r>
    </w:p>
    <w:p w:rsidR="007C06C0" w:rsidRPr="007E2C21" w:rsidRDefault="007C06C0" w:rsidP="00886838">
      <w:pPr>
        <w:spacing w:beforeLines="50" w:afterLines="50"/>
        <w:ind w:firstLine="420"/>
        <w:rPr>
          <w:rFonts w:ascii="宋体"/>
          <w:b/>
        </w:rPr>
      </w:pPr>
      <w:r>
        <w:rPr>
          <w:rFonts w:ascii="宋体" w:hAnsi="宋体"/>
        </w:rPr>
        <w:t>5.</w:t>
      </w:r>
      <w:r>
        <w:rPr>
          <w:rFonts w:ascii="宋体" w:hAnsi="宋体" w:hint="eastAsia"/>
        </w:rPr>
        <w:t>本报告相信，有关数据和分析确实具有非常好的参考价值，能为中国公共关系市场的健康发展提供积极的引导和推动力。</w:t>
      </w:r>
    </w:p>
    <w:p w:rsidR="007C06C0" w:rsidRPr="00236128" w:rsidRDefault="007C06C0" w:rsidP="00886838">
      <w:pPr>
        <w:spacing w:beforeLines="50" w:afterLines="50"/>
        <w:rPr>
          <w:rFonts w:ascii="华文中宋" w:eastAsia="华文中宋" w:hAnsi="华文中宋"/>
          <w:b/>
          <w:bCs/>
          <w:sz w:val="44"/>
        </w:rPr>
      </w:pPr>
    </w:p>
    <w:p w:rsidR="007C06C0" w:rsidRPr="00C43BF1" w:rsidRDefault="007C06C0" w:rsidP="00886838">
      <w:pPr>
        <w:spacing w:beforeLines="50" w:afterLines="50"/>
        <w:jc w:val="center"/>
        <w:rPr>
          <w:rFonts w:ascii="宋体"/>
          <w:sz w:val="36"/>
          <w:szCs w:val="36"/>
        </w:rPr>
      </w:pPr>
      <w:r>
        <w:rPr>
          <w:rFonts w:ascii="华文中宋" w:eastAsia="华文中宋" w:hAnsi="华文中宋"/>
          <w:b/>
          <w:bCs/>
          <w:sz w:val="44"/>
        </w:rPr>
        <w:br w:type="page"/>
      </w:r>
      <w:r w:rsidRPr="00C43BF1">
        <w:rPr>
          <w:rFonts w:ascii="宋体" w:hAnsi="宋体" w:hint="eastAsia"/>
          <w:b/>
          <w:bCs/>
          <w:sz w:val="36"/>
          <w:szCs w:val="36"/>
        </w:rPr>
        <w:lastRenderedPageBreak/>
        <w:t>年度排行榜</w:t>
      </w:r>
    </w:p>
    <w:p w:rsidR="007C06C0" w:rsidRPr="00590E67" w:rsidRDefault="007C06C0" w:rsidP="00886838">
      <w:pPr>
        <w:spacing w:beforeLines="50" w:afterLines="50"/>
        <w:ind w:firstLineChars="200" w:firstLine="420"/>
        <w:rPr>
          <w:rFonts w:ascii="Times New Roman" w:hAnsi="Times New Roman"/>
        </w:rPr>
      </w:pPr>
      <w:r w:rsidRPr="00590E67">
        <w:rPr>
          <w:rFonts w:ascii="Times New Roman" w:hAnsi="Times New Roman"/>
        </w:rPr>
        <w:t>201</w:t>
      </w:r>
      <w:r>
        <w:rPr>
          <w:rFonts w:ascii="Times New Roman" w:hAnsi="Times New Roman"/>
        </w:rPr>
        <w:t>2</w:t>
      </w:r>
      <w:r w:rsidRPr="00590E67">
        <w:rPr>
          <w:rFonts w:ascii="Times New Roman" w:hAnsi="Times New Roman" w:hint="eastAsia"/>
        </w:rPr>
        <w:t>年度公司排行榜包括</w:t>
      </w:r>
      <w:r w:rsidRPr="00590E67">
        <w:rPr>
          <w:rFonts w:ascii="Times New Roman" w:hAnsi="Times New Roman"/>
        </w:rPr>
        <w:t>TOP</w:t>
      </w:r>
      <w:r>
        <w:rPr>
          <w:rFonts w:ascii="Times New Roman" w:hAnsi="Times New Roman"/>
        </w:rPr>
        <w:t>25</w:t>
      </w:r>
      <w:r w:rsidRPr="00590E67">
        <w:rPr>
          <w:rFonts w:ascii="Times New Roman" w:hAnsi="Times New Roman" w:hint="eastAsia"/>
        </w:rPr>
        <w:t>公司和</w:t>
      </w:r>
      <w:r>
        <w:rPr>
          <w:rFonts w:ascii="Times New Roman" w:hAnsi="Times New Roman" w:hint="eastAsia"/>
        </w:rPr>
        <w:t>最具成长性公司</w:t>
      </w:r>
      <w:r w:rsidRPr="00590E67">
        <w:rPr>
          <w:rFonts w:ascii="Times New Roman" w:hAnsi="Times New Roman" w:hint="eastAsia"/>
        </w:rPr>
        <w:t>两个榜单，</w:t>
      </w:r>
      <w:r>
        <w:rPr>
          <w:rFonts w:ascii="Times New Roman" w:hAnsi="Times New Roman" w:hint="eastAsia"/>
        </w:rPr>
        <w:t>其中</w:t>
      </w:r>
      <w:r w:rsidRPr="0019614F">
        <w:rPr>
          <w:rFonts w:ascii="Times New Roman" w:hAnsi="Times New Roman"/>
          <w:b/>
        </w:rPr>
        <w:t>TOP</w:t>
      </w:r>
      <w:r w:rsidRPr="0019614F">
        <w:rPr>
          <w:rFonts w:ascii="Times New Roman" w:hAnsi="Times New Roman" w:hint="eastAsia"/>
          <w:b/>
        </w:rPr>
        <w:t>公司</w:t>
      </w:r>
      <w:r w:rsidRPr="0019614F">
        <w:rPr>
          <w:rFonts w:ascii="Times New Roman" w:hAnsi="Times New Roman"/>
          <w:b/>
        </w:rPr>
        <w:t>25</w:t>
      </w:r>
      <w:r w:rsidRPr="0019614F">
        <w:rPr>
          <w:rFonts w:ascii="Times New Roman" w:hAnsi="Times New Roman" w:hint="eastAsia"/>
          <w:b/>
        </w:rPr>
        <w:t>家</w:t>
      </w:r>
      <w:r>
        <w:rPr>
          <w:rFonts w:ascii="Times New Roman" w:hAnsi="Times New Roman" w:hint="eastAsia"/>
        </w:rPr>
        <w:t>，</w:t>
      </w:r>
      <w:r w:rsidRPr="0019614F">
        <w:rPr>
          <w:rFonts w:ascii="Times New Roman" w:hAnsi="Times New Roman" w:hint="eastAsia"/>
          <w:b/>
        </w:rPr>
        <w:t>最具成长性公司</w:t>
      </w:r>
      <w:r w:rsidRPr="0019614F">
        <w:rPr>
          <w:rFonts w:ascii="Times New Roman" w:hAnsi="Times New Roman"/>
          <w:b/>
        </w:rPr>
        <w:t>10</w:t>
      </w:r>
      <w:r w:rsidRPr="0019614F">
        <w:rPr>
          <w:rFonts w:ascii="Times New Roman" w:hAnsi="Times New Roman" w:hint="eastAsia"/>
          <w:b/>
        </w:rPr>
        <w:t>家</w:t>
      </w:r>
      <w:r w:rsidRPr="00590E67">
        <w:rPr>
          <w:rFonts w:ascii="Times New Roman" w:hAnsi="Times New Roman" w:hint="eastAsia"/>
        </w:rPr>
        <w:t>。该榜单以</w:t>
      </w:r>
      <w:r w:rsidRPr="00590E67">
        <w:rPr>
          <w:rFonts w:ascii="Times New Roman" w:hint="eastAsia"/>
        </w:rPr>
        <w:t>自愿参与调查活动、提交完整数据、能够接受考察核实的公关公司</w:t>
      </w:r>
      <w:r w:rsidRPr="00590E67">
        <w:rPr>
          <w:rFonts w:ascii="Times New Roman" w:hAnsi="Times New Roman" w:hint="eastAsia"/>
        </w:rPr>
        <w:t>为评选对象，</w:t>
      </w:r>
      <w:r w:rsidRPr="00590E67">
        <w:rPr>
          <w:rFonts w:ascii="Times New Roman" w:hint="eastAsia"/>
        </w:rPr>
        <w:t>以</w:t>
      </w:r>
      <w:r w:rsidRPr="00590E67">
        <w:rPr>
          <w:rFonts w:ascii="Times New Roman" w:hAnsi="Times New Roman"/>
        </w:rPr>
        <w:t>“TOP</w:t>
      </w:r>
      <w:r w:rsidRPr="00590E67">
        <w:rPr>
          <w:rFonts w:ascii="Times New Roman" w:hint="eastAsia"/>
        </w:rPr>
        <w:t>公司评选标准</w:t>
      </w:r>
      <w:r w:rsidRPr="00590E67">
        <w:rPr>
          <w:rFonts w:ascii="Times New Roman" w:hAnsi="Times New Roman"/>
        </w:rPr>
        <w:t>”</w:t>
      </w:r>
      <w:r w:rsidRPr="00590E67">
        <w:rPr>
          <w:rFonts w:ascii="Times New Roman" w:hint="eastAsia"/>
        </w:rPr>
        <w:t>为评选依据，通过加权指数计算产生最终结果。</w:t>
      </w:r>
    </w:p>
    <w:p w:rsidR="007C06C0" w:rsidRDefault="007C06C0" w:rsidP="00886838">
      <w:pPr>
        <w:spacing w:beforeLines="50" w:afterLines="50"/>
        <w:ind w:firstLineChars="200" w:firstLine="420"/>
        <w:rPr>
          <w:rFonts w:ascii="Times New Roman" w:hAnsi="Times New Roman"/>
        </w:rPr>
      </w:pPr>
      <w:r w:rsidRPr="00590E67">
        <w:rPr>
          <w:rFonts w:ascii="Times New Roman" w:hAnsi="Times New Roman" w:hint="eastAsia"/>
        </w:rPr>
        <w:t>榜单统计分析由</w:t>
      </w:r>
      <w:r w:rsidRPr="00590E67">
        <w:rPr>
          <w:rFonts w:ascii="Times New Roman" w:hAnsi="Times New Roman"/>
        </w:rPr>
        <w:t>CIPRA</w:t>
      </w:r>
      <w:r w:rsidRPr="00590E67">
        <w:rPr>
          <w:rFonts w:ascii="Times New Roman" w:hAnsi="Times New Roman" w:hint="eastAsia"/>
        </w:rPr>
        <w:t>研究发展部执行，</w:t>
      </w:r>
      <w:r w:rsidRPr="00590E67">
        <w:rPr>
          <w:rFonts w:ascii="Times New Roman" w:hAnsi="Times New Roman"/>
        </w:rPr>
        <w:t>CIPRA</w:t>
      </w:r>
      <w:r w:rsidRPr="00590E67">
        <w:rPr>
          <w:rFonts w:ascii="Times New Roman" w:hAnsi="Times New Roman" w:hint="eastAsia"/>
        </w:rPr>
        <w:t>公关公司工作委员会常委会审议。</w:t>
      </w:r>
    </w:p>
    <w:p w:rsidR="007C06C0" w:rsidRDefault="007C06C0" w:rsidP="00886838">
      <w:pPr>
        <w:spacing w:beforeLines="50" w:afterLines="50"/>
        <w:ind w:firstLineChars="196" w:firstLine="413"/>
        <w:rPr>
          <w:rFonts w:ascii="宋体"/>
          <w:b/>
          <w:bCs/>
        </w:rPr>
      </w:pPr>
      <w:r w:rsidRPr="00236128">
        <w:rPr>
          <w:rFonts w:ascii="宋体" w:hAnsi="宋体" w:hint="eastAsia"/>
          <w:b/>
          <w:bCs/>
        </w:rPr>
        <w:t>关于</w:t>
      </w:r>
      <w:r>
        <w:rPr>
          <w:rFonts w:ascii="宋体" w:hAnsi="宋体"/>
          <w:b/>
          <w:bCs/>
        </w:rPr>
        <w:t>TOP</w:t>
      </w:r>
      <w:r>
        <w:rPr>
          <w:rFonts w:ascii="宋体" w:hAnsi="宋体" w:hint="eastAsia"/>
          <w:b/>
          <w:bCs/>
        </w:rPr>
        <w:t>公司榜单</w:t>
      </w:r>
    </w:p>
    <w:p w:rsidR="007C06C0" w:rsidRPr="00722D23" w:rsidRDefault="007C06C0" w:rsidP="00886838">
      <w:pPr>
        <w:spacing w:beforeLines="50" w:afterLines="50"/>
        <w:ind w:firstLineChars="200" w:firstLine="420"/>
        <w:rPr>
          <w:rFonts w:ascii="Times New Roman" w:hAnsi="Times New Roman"/>
        </w:rPr>
      </w:pPr>
      <w:r>
        <w:rPr>
          <w:rFonts w:ascii="Times New Roman" w:hAnsi="Times New Roman" w:hint="eastAsia"/>
        </w:rPr>
        <w:t>今年首次将</w:t>
      </w:r>
      <w:r>
        <w:rPr>
          <w:rFonts w:ascii="Times New Roman" w:hAnsi="Times New Roman"/>
        </w:rPr>
        <w:t>TOP</w:t>
      </w:r>
      <w:r>
        <w:rPr>
          <w:rFonts w:ascii="Times New Roman" w:hAnsi="Times New Roman" w:hint="eastAsia"/>
        </w:rPr>
        <w:t>公司榜单由以前的</w:t>
      </w:r>
      <w:r>
        <w:rPr>
          <w:rFonts w:ascii="Times New Roman" w:hAnsi="Times New Roman"/>
        </w:rPr>
        <w:t>20</w:t>
      </w:r>
      <w:r>
        <w:rPr>
          <w:rFonts w:ascii="Times New Roman" w:hAnsi="Times New Roman" w:hint="eastAsia"/>
        </w:rPr>
        <w:t>家扩大至</w:t>
      </w:r>
      <w:r>
        <w:rPr>
          <w:rFonts w:ascii="Times New Roman" w:hAnsi="Times New Roman"/>
        </w:rPr>
        <w:t>25</w:t>
      </w:r>
      <w:r>
        <w:rPr>
          <w:rFonts w:ascii="Times New Roman" w:hAnsi="Times New Roman" w:hint="eastAsia"/>
        </w:rPr>
        <w:t>家，这是基于中国公关市场规模不断扩大，以及本土公关公司迅速成长的大背景下所作的调整，以期更好地反映中国的公关市场现状。</w:t>
      </w:r>
    </w:p>
    <w:p w:rsidR="007C06C0" w:rsidRDefault="007C06C0" w:rsidP="00886838">
      <w:pPr>
        <w:spacing w:beforeLines="50" w:afterLines="50"/>
        <w:ind w:firstLineChars="196" w:firstLine="413"/>
        <w:rPr>
          <w:rFonts w:ascii="宋体"/>
          <w:b/>
          <w:bCs/>
        </w:rPr>
      </w:pPr>
      <w:r w:rsidRPr="00236128">
        <w:rPr>
          <w:rFonts w:ascii="宋体" w:hAnsi="宋体" w:hint="eastAsia"/>
          <w:b/>
          <w:bCs/>
        </w:rPr>
        <w:t>关于</w:t>
      </w:r>
      <w:r>
        <w:rPr>
          <w:rFonts w:ascii="宋体" w:hAnsi="宋体" w:hint="eastAsia"/>
          <w:b/>
          <w:bCs/>
        </w:rPr>
        <w:t>“</w:t>
      </w:r>
      <w:r w:rsidRPr="00236128">
        <w:rPr>
          <w:rFonts w:ascii="宋体" w:hAnsi="宋体" w:hint="eastAsia"/>
          <w:b/>
          <w:bCs/>
        </w:rPr>
        <w:t>营业收入</w:t>
      </w:r>
      <w:r>
        <w:rPr>
          <w:rFonts w:ascii="宋体" w:hAnsi="宋体" w:hint="eastAsia"/>
          <w:b/>
          <w:bCs/>
        </w:rPr>
        <w:t>”注释</w:t>
      </w:r>
    </w:p>
    <w:p w:rsidR="007C06C0" w:rsidRPr="00590E67" w:rsidRDefault="007C06C0" w:rsidP="00886838">
      <w:pPr>
        <w:spacing w:beforeLines="50" w:afterLines="50"/>
        <w:ind w:firstLine="420"/>
        <w:rPr>
          <w:rFonts w:ascii="Times New Roman" w:hAnsi="Times New Roman"/>
        </w:rPr>
      </w:pPr>
      <w:r w:rsidRPr="00590E67">
        <w:rPr>
          <w:rFonts w:ascii="Times New Roman" w:hAnsi="宋体" w:hint="eastAsia"/>
        </w:rPr>
        <w:t>本调查中所使用的</w:t>
      </w:r>
      <w:r w:rsidRPr="00590E67">
        <w:rPr>
          <w:rFonts w:ascii="Times New Roman" w:hAnsi="Times New Roman"/>
        </w:rPr>
        <w:t>“</w:t>
      </w:r>
      <w:r w:rsidRPr="00590E67">
        <w:rPr>
          <w:rFonts w:ascii="Times New Roman" w:hAnsi="宋体" w:hint="eastAsia"/>
        </w:rPr>
        <w:t>营业收入</w:t>
      </w:r>
      <w:r w:rsidRPr="00590E67">
        <w:rPr>
          <w:rFonts w:ascii="Times New Roman" w:hAnsi="Times New Roman"/>
        </w:rPr>
        <w:t>”</w:t>
      </w:r>
      <w:r w:rsidRPr="00590E67">
        <w:rPr>
          <w:rFonts w:ascii="Times New Roman" w:hAnsi="宋体" w:hint="eastAsia"/>
        </w:rPr>
        <w:t>一词，专指公共关系服务收入（不含广告、制作等业务），</w:t>
      </w:r>
      <w:r w:rsidRPr="00590E67">
        <w:rPr>
          <w:rFonts w:ascii="Times New Roman" w:hAnsi="Times New Roman"/>
        </w:rPr>
        <w:t>Fee</w:t>
      </w:r>
      <w:r w:rsidRPr="00590E67">
        <w:rPr>
          <w:rFonts w:ascii="Times New Roman" w:hAnsi="宋体" w:hint="eastAsia"/>
        </w:rPr>
        <w:t>或称毛利润。该收入为含营业税的服务收入，须扣除第三方费用（包括外购劳务、媒体购买等）。</w:t>
      </w:r>
    </w:p>
    <w:p w:rsidR="009941B3" w:rsidRDefault="009941B3" w:rsidP="003F636E">
      <w:pPr>
        <w:widowControl/>
        <w:jc w:val="center"/>
        <w:rPr>
          <w:rFonts w:ascii="华文中宋" w:eastAsia="华文中宋" w:hAnsi="华文中宋"/>
          <w:b/>
          <w:bCs/>
          <w:sz w:val="28"/>
        </w:rPr>
      </w:pPr>
    </w:p>
    <w:p w:rsidR="007C06C0" w:rsidRDefault="007C06C0" w:rsidP="003F636E">
      <w:pPr>
        <w:widowControl/>
        <w:jc w:val="center"/>
        <w:rPr>
          <w:rFonts w:ascii="华文中宋" w:eastAsia="华文中宋" w:hAnsi="华文中宋"/>
          <w:b/>
          <w:bCs/>
          <w:sz w:val="28"/>
        </w:rPr>
      </w:pPr>
      <w:r>
        <w:rPr>
          <w:rFonts w:ascii="华文中宋" w:eastAsia="华文中宋" w:hAnsi="华文中宋"/>
          <w:b/>
          <w:bCs/>
          <w:sz w:val="28"/>
        </w:rPr>
        <w:t>2012</w:t>
      </w:r>
      <w:r>
        <w:rPr>
          <w:rFonts w:ascii="华文中宋" w:eastAsia="华文中宋" w:hAnsi="华文中宋" w:hint="eastAsia"/>
          <w:b/>
          <w:bCs/>
          <w:sz w:val="28"/>
        </w:rPr>
        <w:t>年度</w:t>
      </w:r>
      <w:r>
        <w:rPr>
          <w:rFonts w:ascii="华文中宋" w:eastAsia="华文中宋" w:hAnsi="华文中宋"/>
          <w:b/>
          <w:bCs/>
          <w:sz w:val="28"/>
        </w:rPr>
        <w:t xml:space="preserve"> TOP 25</w:t>
      </w:r>
      <w:r>
        <w:rPr>
          <w:rFonts w:ascii="华文中宋" w:eastAsia="华文中宋" w:hAnsi="华文中宋" w:hint="eastAsia"/>
          <w:b/>
          <w:bCs/>
          <w:sz w:val="28"/>
        </w:rPr>
        <w:t>公司榜单</w:t>
      </w:r>
    </w:p>
    <w:p w:rsidR="007C06C0" w:rsidRDefault="007C06C0" w:rsidP="003F636E">
      <w:pPr>
        <w:widowControl/>
        <w:jc w:val="center"/>
        <w:rPr>
          <w:rFonts w:ascii="宋体"/>
        </w:rPr>
      </w:pPr>
      <w:r>
        <w:rPr>
          <w:rFonts w:ascii="宋体" w:hAnsi="宋体" w:hint="eastAsia"/>
        </w:rPr>
        <w:t>（按公司品牌英文名排序）</w:t>
      </w:r>
    </w:p>
    <w:p w:rsidR="007C06C0" w:rsidRDefault="007C06C0" w:rsidP="003F636E">
      <w:pPr>
        <w:widowControl/>
        <w:jc w:val="center"/>
        <w:rPr>
          <w:rFonts w:ascii="宋体"/>
        </w:rPr>
      </w:pPr>
    </w:p>
    <w:tbl>
      <w:tblPr>
        <w:tblW w:w="8460" w:type="dxa"/>
        <w:tblInd w:w="93" w:type="dxa"/>
        <w:tblLook w:val="00A0"/>
      </w:tblPr>
      <w:tblGrid>
        <w:gridCol w:w="2260"/>
        <w:gridCol w:w="2080"/>
        <w:gridCol w:w="1920"/>
        <w:gridCol w:w="2200"/>
      </w:tblGrid>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spellStart"/>
            <w:r w:rsidRPr="00977101">
              <w:rPr>
                <w:rFonts w:ascii="Times New Roman" w:hAnsi="Times New Roman"/>
                <w:color w:val="0000FF"/>
                <w:kern w:val="0"/>
                <w:sz w:val="22"/>
              </w:rPr>
              <w:t>AcrossChina</w:t>
            </w:r>
            <w:proofErr w:type="spellEnd"/>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hint="eastAsia"/>
                <w:color w:val="0000FF"/>
                <w:kern w:val="0"/>
                <w:sz w:val="22"/>
              </w:rPr>
              <w:t>信</w:t>
            </w:r>
            <w:proofErr w:type="gramStart"/>
            <w:r w:rsidRPr="00977101">
              <w:rPr>
                <w:rFonts w:ascii="Times New Roman" w:hAnsi="Times New Roman" w:hint="eastAsia"/>
                <w:color w:val="0000FF"/>
                <w:kern w:val="0"/>
                <w:sz w:val="22"/>
              </w:rPr>
              <w:t>诺传播</w:t>
            </w:r>
            <w:proofErr w:type="gramEnd"/>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HRH</w:t>
            </w:r>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宋体" w:hAnsi="宋体" w:hint="eastAsia"/>
                <w:color w:val="0000FF"/>
                <w:kern w:val="0"/>
                <w:sz w:val="22"/>
              </w:rPr>
              <w:t>恒</w:t>
            </w:r>
            <w:r w:rsidRPr="00977101">
              <w:rPr>
                <w:rFonts w:ascii="Times New Roman" w:hAnsi="Times New Roman"/>
                <w:color w:val="0000FF"/>
                <w:kern w:val="0"/>
                <w:sz w:val="22"/>
              </w:rPr>
              <w:t xml:space="preserve"> </w:t>
            </w:r>
            <w:r w:rsidRPr="00977101">
              <w:rPr>
                <w:rFonts w:ascii="宋体" w:hAnsi="宋体" w:hint="eastAsia"/>
                <w:color w:val="0000FF"/>
                <w:kern w:val="0"/>
                <w:sz w:val="22"/>
              </w:rPr>
              <w:t>瑞</w:t>
            </w:r>
            <w:r w:rsidRPr="00977101">
              <w:rPr>
                <w:rFonts w:ascii="Times New Roman" w:hAnsi="Times New Roman"/>
                <w:color w:val="0000FF"/>
                <w:kern w:val="0"/>
                <w:sz w:val="22"/>
              </w:rPr>
              <w:t xml:space="preserve"> </w:t>
            </w:r>
            <w:r w:rsidRPr="00977101">
              <w:rPr>
                <w:rFonts w:ascii="宋体" w:hAnsi="宋体" w:hint="eastAsia"/>
                <w:color w:val="0000FF"/>
                <w:kern w:val="0"/>
                <w:sz w:val="22"/>
              </w:rPr>
              <w:t>行</w:t>
            </w:r>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APR</w:t>
            </w:r>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宋体" w:hAnsi="宋体" w:hint="eastAsia"/>
                <w:color w:val="0000FF"/>
                <w:kern w:val="0"/>
                <w:sz w:val="22"/>
              </w:rPr>
              <w:t>注</w:t>
            </w:r>
            <w:r w:rsidRPr="00977101">
              <w:rPr>
                <w:rFonts w:ascii="Times New Roman" w:hAnsi="Times New Roman"/>
                <w:color w:val="0000FF"/>
                <w:kern w:val="0"/>
                <w:sz w:val="22"/>
              </w:rPr>
              <w:t xml:space="preserve"> </w:t>
            </w:r>
            <w:r w:rsidRPr="00977101">
              <w:rPr>
                <w:rFonts w:ascii="宋体" w:hAnsi="宋体" w:hint="eastAsia"/>
                <w:color w:val="0000FF"/>
                <w:kern w:val="0"/>
                <w:sz w:val="22"/>
              </w:rPr>
              <w:t>意</w:t>
            </w:r>
            <w:r w:rsidRPr="00977101">
              <w:rPr>
                <w:rFonts w:ascii="Times New Roman" w:hAnsi="Times New Roman"/>
                <w:color w:val="0000FF"/>
                <w:kern w:val="0"/>
                <w:sz w:val="22"/>
              </w:rPr>
              <w:t xml:space="preserve"> </w:t>
            </w:r>
            <w:r w:rsidRPr="00977101">
              <w:rPr>
                <w:rFonts w:ascii="宋体" w:hAnsi="宋体" w:hint="eastAsia"/>
                <w:color w:val="0000FF"/>
                <w:kern w:val="0"/>
                <w:sz w:val="22"/>
              </w:rPr>
              <w:t>力</w:t>
            </w:r>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KEYPOINT</w:t>
            </w:r>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宋体" w:cs="宋体"/>
                <w:color w:val="0000FF"/>
                <w:kern w:val="0"/>
                <w:sz w:val="22"/>
              </w:rPr>
            </w:pPr>
            <w:r w:rsidRPr="00977101">
              <w:rPr>
                <w:rFonts w:ascii="宋体" w:hAnsi="宋体" w:cs="宋体" w:hint="eastAsia"/>
                <w:color w:val="0000FF"/>
                <w:kern w:val="0"/>
                <w:sz w:val="22"/>
              </w:rPr>
              <w:t>关</w:t>
            </w:r>
            <w:r w:rsidRPr="00977101">
              <w:rPr>
                <w:rFonts w:ascii="宋体" w:hAnsi="宋体" w:cs="宋体"/>
                <w:color w:val="0000FF"/>
                <w:kern w:val="0"/>
                <w:sz w:val="22"/>
              </w:rPr>
              <w:t xml:space="preserve"> </w:t>
            </w:r>
            <w:r w:rsidRPr="00977101">
              <w:rPr>
                <w:rFonts w:ascii="宋体" w:hAnsi="宋体" w:cs="宋体" w:hint="eastAsia"/>
                <w:color w:val="0000FF"/>
                <w:kern w:val="0"/>
                <w:sz w:val="22"/>
              </w:rPr>
              <w:t>键</w:t>
            </w:r>
            <w:r w:rsidRPr="00977101">
              <w:rPr>
                <w:rFonts w:ascii="宋体" w:hAnsi="宋体" w:cs="宋体"/>
                <w:color w:val="0000FF"/>
                <w:kern w:val="0"/>
                <w:sz w:val="22"/>
              </w:rPr>
              <w:t xml:space="preserve"> </w:t>
            </w:r>
            <w:r w:rsidRPr="00977101">
              <w:rPr>
                <w:rFonts w:ascii="宋体" w:hAnsi="宋体" w:cs="宋体" w:hint="eastAsia"/>
                <w:color w:val="0000FF"/>
                <w:kern w:val="0"/>
                <w:sz w:val="22"/>
              </w:rPr>
              <w:t>点</w:t>
            </w:r>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spellStart"/>
            <w:r w:rsidRPr="00977101">
              <w:rPr>
                <w:rFonts w:ascii="Times New Roman" w:hAnsi="Times New Roman"/>
                <w:color w:val="0000FF"/>
                <w:kern w:val="0"/>
                <w:sz w:val="22"/>
              </w:rPr>
              <w:t>BlueFocus</w:t>
            </w:r>
            <w:proofErr w:type="spellEnd"/>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hint="eastAsia"/>
                <w:color w:val="0000FF"/>
                <w:kern w:val="0"/>
                <w:sz w:val="22"/>
              </w:rPr>
              <w:t>蓝色光标</w:t>
            </w:r>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spellStart"/>
            <w:r w:rsidRPr="00977101">
              <w:rPr>
                <w:rFonts w:ascii="Times New Roman" w:hAnsi="Times New Roman"/>
                <w:color w:val="0000FF"/>
                <w:kern w:val="0"/>
                <w:sz w:val="22"/>
              </w:rPr>
              <w:t>Linksus</w:t>
            </w:r>
            <w:proofErr w:type="spellEnd"/>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hint="eastAsia"/>
                <w:color w:val="0000FF"/>
                <w:kern w:val="0"/>
                <w:sz w:val="22"/>
              </w:rPr>
              <w:t>灵思营销</w:t>
            </w:r>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spellStart"/>
            <w:r w:rsidRPr="00977101">
              <w:rPr>
                <w:rFonts w:ascii="Times New Roman" w:hAnsi="Times New Roman"/>
                <w:color w:val="0000FF"/>
                <w:kern w:val="0"/>
                <w:sz w:val="22"/>
              </w:rPr>
              <w:t>Burson-Ma</w:t>
            </w:r>
            <w:r w:rsidR="00362C34">
              <w:rPr>
                <w:rFonts w:ascii="Times New Roman" w:hAnsi="Times New Roman" w:hint="eastAsia"/>
                <w:color w:val="0000FF"/>
                <w:kern w:val="0"/>
                <w:sz w:val="22"/>
              </w:rPr>
              <w:t>r</w:t>
            </w:r>
            <w:r w:rsidRPr="00977101">
              <w:rPr>
                <w:rFonts w:ascii="Times New Roman" w:hAnsi="Times New Roman"/>
                <w:color w:val="0000FF"/>
                <w:kern w:val="0"/>
                <w:sz w:val="22"/>
              </w:rPr>
              <w:t>steller</w:t>
            </w:r>
            <w:proofErr w:type="spellEnd"/>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宋体" w:cs="宋体"/>
                <w:color w:val="0000FF"/>
                <w:kern w:val="0"/>
                <w:sz w:val="22"/>
              </w:rPr>
            </w:pPr>
            <w:bookmarkStart w:id="2" w:name="OLE_LINK1"/>
            <w:bookmarkStart w:id="3" w:name="OLE_LINK2"/>
            <w:r w:rsidRPr="00977101">
              <w:rPr>
                <w:rFonts w:ascii="宋体" w:hAnsi="宋体" w:cs="宋体" w:hint="eastAsia"/>
                <w:color w:val="0000FF"/>
                <w:kern w:val="0"/>
                <w:sz w:val="22"/>
              </w:rPr>
              <w:t>博雅公关</w:t>
            </w:r>
            <w:bookmarkEnd w:id="2"/>
            <w:bookmarkEnd w:id="3"/>
          </w:p>
        </w:tc>
        <w:tc>
          <w:tcPr>
            <w:tcW w:w="1920" w:type="dxa"/>
            <w:tcBorders>
              <w:top w:val="nil"/>
              <w:left w:val="nil"/>
              <w:bottom w:val="nil"/>
              <w:right w:val="nil"/>
            </w:tcBorders>
            <w:shd w:val="clear" w:color="000000" w:fill="FFFFFF"/>
            <w:noWrap/>
            <w:vAlign w:val="center"/>
          </w:tcPr>
          <w:p w:rsidR="007C06C0" w:rsidRPr="00977101" w:rsidRDefault="007C06C0" w:rsidP="00F85C26">
            <w:pPr>
              <w:widowControl/>
              <w:jc w:val="left"/>
              <w:rPr>
                <w:rFonts w:ascii="Times New Roman" w:hAnsi="Times New Roman"/>
                <w:color w:val="0000FF"/>
                <w:kern w:val="0"/>
                <w:sz w:val="22"/>
              </w:rPr>
            </w:pPr>
            <w:r w:rsidRPr="00977101">
              <w:rPr>
                <w:rFonts w:ascii="Times New Roman" w:hAnsi="Times New Roman"/>
                <w:color w:val="0000FF"/>
                <w:kern w:val="0"/>
                <w:sz w:val="22"/>
              </w:rPr>
              <w:t>MR</w:t>
            </w:r>
          </w:p>
        </w:tc>
        <w:tc>
          <w:tcPr>
            <w:tcW w:w="2200" w:type="dxa"/>
            <w:tcBorders>
              <w:top w:val="nil"/>
              <w:left w:val="nil"/>
              <w:bottom w:val="nil"/>
              <w:right w:val="nil"/>
            </w:tcBorders>
            <w:shd w:val="clear" w:color="000000" w:fill="FFFFFF"/>
            <w:noWrap/>
            <w:vAlign w:val="center"/>
          </w:tcPr>
          <w:p w:rsidR="007C06C0" w:rsidRPr="00977101" w:rsidRDefault="007C06C0" w:rsidP="00F85C26">
            <w:pPr>
              <w:widowControl/>
              <w:jc w:val="left"/>
              <w:rPr>
                <w:rFonts w:ascii="Times New Roman" w:hAnsi="Times New Roman"/>
                <w:color w:val="0000FF"/>
                <w:kern w:val="0"/>
                <w:sz w:val="22"/>
              </w:rPr>
            </w:pPr>
            <w:r w:rsidRPr="00977101">
              <w:rPr>
                <w:rFonts w:ascii="Times New Roman" w:hAnsi="Times New Roman" w:hint="eastAsia"/>
                <w:color w:val="0000FF"/>
                <w:kern w:val="0"/>
                <w:sz w:val="22"/>
              </w:rPr>
              <w:t>嘉利</w:t>
            </w:r>
            <w:r w:rsidR="00F85C26">
              <w:rPr>
                <w:rFonts w:ascii="Times New Roman" w:hAnsi="Times New Roman" w:hint="eastAsia"/>
                <w:color w:val="0000FF"/>
                <w:kern w:val="0"/>
                <w:sz w:val="22"/>
              </w:rPr>
              <w:t>公关</w:t>
            </w:r>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CHUAN</w:t>
            </w:r>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gramStart"/>
            <w:r w:rsidRPr="00977101">
              <w:rPr>
                <w:rFonts w:ascii="Times New Roman" w:hAnsi="Times New Roman" w:hint="eastAsia"/>
                <w:color w:val="0000FF"/>
                <w:kern w:val="0"/>
                <w:sz w:val="22"/>
              </w:rPr>
              <w:t>传智传播</w:t>
            </w:r>
            <w:proofErr w:type="gramEnd"/>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MSL China</w:t>
            </w:r>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宋体" w:cs="宋体"/>
                <w:color w:val="0000FF"/>
                <w:kern w:val="0"/>
                <w:sz w:val="22"/>
              </w:rPr>
            </w:pPr>
            <w:r w:rsidRPr="00977101">
              <w:rPr>
                <w:rFonts w:ascii="宋体" w:hAnsi="宋体" w:cs="宋体" w:hint="eastAsia"/>
                <w:color w:val="0000FF"/>
                <w:kern w:val="0"/>
                <w:sz w:val="22"/>
              </w:rPr>
              <w:t>明思</w:t>
            </w:r>
            <w:proofErr w:type="gramStart"/>
            <w:r w:rsidRPr="00977101">
              <w:rPr>
                <w:rFonts w:ascii="宋体" w:hAnsi="宋体" w:cs="宋体" w:hint="eastAsia"/>
                <w:color w:val="0000FF"/>
                <w:kern w:val="0"/>
                <w:sz w:val="22"/>
              </w:rPr>
              <w:t>力中国</w:t>
            </w:r>
            <w:proofErr w:type="gramEnd"/>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CYTS Linkage</w:t>
            </w:r>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宋体" w:cs="宋体"/>
                <w:color w:val="0000FF"/>
                <w:kern w:val="0"/>
                <w:sz w:val="22"/>
              </w:rPr>
            </w:pPr>
            <w:r w:rsidRPr="00977101">
              <w:rPr>
                <w:rFonts w:ascii="宋体" w:hAnsi="宋体" w:cs="宋体" w:hint="eastAsia"/>
                <w:color w:val="0000FF"/>
                <w:kern w:val="0"/>
                <w:sz w:val="22"/>
              </w:rPr>
              <w:t>中青旅联科</w:t>
            </w:r>
          </w:p>
        </w:tc>
        <w:tc>
          <w:tcPr>
            <w:tcW w:w="1920" w:type="dxa"/>
            <w:tcBorders>
              <w:top w:val="nil"/>
              <w:left w:val="nil"/>
              <w:bottom w:val="nil"/>
              <w:right w:val="nil"/>
            </w:tcBorders>
            <w:shd w:val="clear" w:color="000000" w:fill="FFFFFF"/>
            <w:noWrap/>
            <w:vAlign w:val="center"/>
          </w:tcPr>
          <w:p w:rsidR="007C06C0" w:rsidRPr="00977101" w:rsidRDefault="00F41391" w:rsidP="003F636E">
            <w:pPr>
              <w:widowControl/>
              <w:jc w:val="left"/>
              <w:rPr>
                <w:rFonts w:ascii="Times New Roman" w:hAnsi="Times New Roman"/>
                <w:color w:val="0000FF"/>
                <w:kern w:val="0"/>
                <w:sz w:val="22"/>
              </w:rPr>
            </w:pPr>
            <w:r>
              <w:rPr>
                <w:rFonts w:ascii="Times New Roman" w:hAnsi="Times New Roman" w:hint="eastAsia"/>
                <w:color w:val="0000FF"/>
                <w:kern w:val="0"/>
                <w:sz w:val="22"/>
              </w:rPr>
              <w:t>NTI</w:t>
            </w:r>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gramStart"/>
            <w:r w:rsidRPr="00977101">
              <w:rPr>
                <w:rFonts w:ascii="Times New Roman" w:hAnsi="Times New Roman" w:hint="eastAsia"/>
                <w:color w:val="0000FF"/>
                <w:kern w:val="0"/>
                <w:sz w:val="22"/>
              </w:rPr>
              <w:t>新势整合</w:t>
            </w:r>
            <w:proofErr w:type="gramEnd"/>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D&amp;S</w:t>
            </w:r>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gramStart"/>
            <w:r w:rsidRPr="00977101">
              <w:rPr>
                <w:rFonts w:ascii="Times New Roman" w:hAnsi="Times New Roman" w:hint="eastAsia"/>
                <w:color w:val="0000FF"/>
                <w:kern w:val="0"/>
                <w:sz w:val="22"/>
              </w:rPr>
              <w:t>迪</w:t>
            </w:r>
            <w:proofErr w:type="gramEnd"/>
            <w:r w:rsidRPr="00977101">
              <w:rPr>
                <w:rFonts w:ascii="Times New Roman" w:hAnsi="Times New Roman" w:hint="eastAsia"/>
                <w:color w:val="0000FF"/>
                <w:kern w:val="0"/>
                <w:sz w:val="22"/>
              </w:rPr>
              <w:t>思传媒</w:t>
            </w:r>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Ogilvy</w:t>
            </w:r>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hint="eastAsia"/>
                <w:color w:val="0000FF"/>
                <w:kern w:val="0"/>
                <w:sz w:val="22"/>
              </w:rPr>
              <w:t>奥美公关</w:t>
            </w:r>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 xml:space="preserve">Daniel </w:t>
            </w:r>
            <w:proofErr w:type="spellStart"/>
            <w:r w:rsidRPr="00977101">
              <w:rPr>
                <w:rFonts w:ascii="Times New Roman" w:hAnsi="Times New Roman"/>
                <w:color w:val="0000FF"/>
                <w:kern w:val="0"/>
                <w:sz w:val="22"/>
              </w:rPr>
              <w:t>J.Edelman</w:t>
            </w:r>
            <w:proofErr w:type="spellEnd"/>
            <w:r w:rsidR="001D74CA">
              <w:rPr>
                <w:rFonts w:ascii="Times New Roman" w:hAnsi="Times New Roman" w:hint="eastAsia"/>
                <w:color w:val="0000FF"/>
                <w:kern w:val="0"/>
                <w:sz w:val="22"/>
              </w:rPr>
              <w:t xml:space="preserve"> China Group</w:t>
            </w:r>
          </w:p>
        </w:tc>
        <w:tc>
          <w:tcPr>
            <w:tcW w:w="2080" w:type="dxa"/>
            <w:tcBorders>
              <w:top w:val="nil"/>
              <w:left w:val="nil"/>
              <w:bottom w:val="nil"/>
              <w:right w:val="nil"/>
            </w:tcBorders>
            <w:shd w:val="clear" w:color="000000" w:fill="FFFFFF"/>
            <w:noWrap/>
            <w:vAlign w:val="center"/>
          </w:tcPr>
          <w:p w:rsidR="007C06C0" w:rsidRPr="00977101" w:rsidRDefault="007C06C0" w:rsidP="00553582">
            <w:pPr>
              <w:widowControl/>
              <w:jc w:val="left"/>
              <w:rPr>
                <w:rFonts w:ascii="宋体" w:cs="宋体"/>
                <w:color w:val="0000FF"/>
                <w:kern w:val="0"/>
                <w:sz w:val="22"/>
              </w:rPr>
            </w:pPr>
            <w:r w:rsidRPr="00977101">
              <w:rPr>
                <w:rFonts w:ascii="宋体" w:hAnsi="宋体" w:cs="宋体" w:hint="eastAsia"/>
                <w:color w:val="0000FF"/>
                <w:kern w:val="0"/>
                <w:sz w:val="22"/>
              </w:rPr>
              <w:t>爱德曼</w:t>
            </w:r>
            <w:r w:rsidR="00553582">
              <w:rPr>
                <w:rFonts w:ascii="宋体" w:hAnsi="宋体" w:cs="宋体" w:hint="eastAsia"/>
                <w:color w:val="0000FF"/>
                <w:kern w:val="0"/>
                <w:sz w:val="22"/>
              </w:rPr>
              <w:t>集团</w:t>
            </w:r>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Ruder Finn</w:t>
            </w:r>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宋体" w:cs="宋体"/>
                <w:color w:val="0000FF"/>
                <w:kern w:val="0"/>
                <w:sz w:val="22"/>
              </w:rPr>
            </w:pPr>
            <w:r w:rsidRPr="00977101">
              <w:rPr>
                <w:rFonts w:ascii="宋体" w:hAnsi="宋体" w:cs="宋体" w:hint="eastAsia"/>
                <w:color w:val="0000FF"/>
                <w:kern w:val="0"/>
                <w:sz w:val="22"/>
              </w:rPr>
              <w:t>罗德公关</w:t>
            </w:r>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EVISION</w:t>
            </w:r>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hint="eastAsia"/>
                <w:color w:val="0000FF"/>
                <w:kern w:val="0"/>
                <w:sz w:val="22"/>
              </w:rPr>
              <w:t>时空视点</w:t>
            </w:r>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spellStart"/>
            <w:r w:rsidRPr="00977101">
              <w:rPr>
                <w:rFonts w:ascii="Times New Roman" w:hAnsi="Times New Roman"/>
                <w:color w:val="0000FF"/>
                <w:kern w:val="0"/>
                <w:sz w:val="22"/>
              </w:rPr>
              <w:t>Shunya</w:t>
            </w:r>
            <w:proofErr w:type="spellEnd"/>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宋体" w:cs="宋体"/>
                <w:color w:val="0000FF"/>
                <w:kern w:val="0"/>
                <w:sz w:val="22"/>
              </w:rPr>
            </w:pPr>
            <w:r w:rsidRPr="00977101">
              <w:rPr>
                <w:rFonts w:ascii="宋体" w:hAnsi="宋体" w:cs="宋体" w:hint="eastAsia"/>
                <w:color w:val="0000FF"/>
                <w:kern w:val="0"/>
                <w:sz w:val="22"/>
              </w:rPr>
              <w:t>宣亚国际</w:t>
            </w:r>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362C34" w:rsidP="003F636E">
            <w:pPr>
              <w:widowControl/>
              <w:jc w:val="left"/>
              <w:rPr>
                <w:rFonts w:ascii="Times New Roman" w:hAnsi="Times New Roman"/>
                <w:color w:val="0000FF"/>
                <w:kern w:val="0"/>
                <w:sz w:val="22"/>
              </w:rPr>
            </w:pPr>
            <w:r>
              <w:rPr>
                <w:rFonts w:ascii="Times New Roman" w:hAnsi="Times New Roman"/>
                <w:color w:val="0000FF"/>
                <w:kern w:val="0"/>
                <w:sz w:val="22"/>
              </w:rPr>
              <w:t>Fle</w:t>
            </w:r>
            <w:r>
              <w:rPr>
                <w:rFonts w:ascii="Times New Roman" w:hAnsi="Times New Roman" w:hint="eastAsia"/>
                <w:color w:val="0000FF"/>
                <w:kern w:val="0"/>
                <w:sz w:val="22"/>
              </w:rPr>
              <w:t>i</w:t>
            </w:r>
            <w:r w:rsidR="007C06C0" w:rsidRPr="00977101">
              <w:rPr>
                <w:rFonts w:ascii="Times New Roman" w:hAnsi="Times New Roman"/>
                <w:color w:val="0000FF"/>
                <w:kern w:val="0"/>
                <w:sz w:val="22"/>
              </w:rPr>
              <w:t>shman-</w:t>
            </w:r>
            <w:proofErr w:type="spellStart"/>
            <w:r w:rsidR="007C06C0" w:rsidRPr="00977101">
              <w:rPr>
                <w:rFonts w:ascii="Times New Roman" w:hAnsi="Times New Roman"/>
                <w:color w:val="0000FF"/>
                <w:kern w:val="0"/>
                <w:sz w:val="22"/>
              </w:rPr>
              <w:t>Hillard</w:t>
            </w:r>
            <w:proofErr w:type="spellEnd"/>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hint="eastAsia"/>
                <w:color w:val="0000FF"/>
                <w:kern w:val="0"/>
                <w:sz w:val="22"/>
              </w:rPr>
              <w:t>福莱希乐</w:t>
            </w:r>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TIMES LEADER</w:t>
            </w:r>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gramStart"/>
            <w:r w:rsidRPr="00977101">
              <w:rPr>
                <w:rFonts w:ascii="Times New Roman" w:hAnsi="Times New Roman" w:hint="eastAsia"/>
                <w:color w:val="0000FF"/>
                <w:kern w:val="0"/>
                <w:sz w:val="22"/>
              </w:rPr>
              <w:t>上海德沪</w:t>
            </w:r>
            <w:proofErr w:type="gramEnd"/>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spellStart"/>
            <w:r w:rsidRPr="00977101">
              <w:rPr>
                <w:rFonts w:ascii="Times New Roman" w:hAnsi="Times New Roman"/>
                <w:color w:val="0000FF"/>
                <w:kern w:val="0"/>
                <w:sz w:val="22"/>
              </w:rPr>
              <w:t>HighTeam</w:t>
            </w:r>
            <w:proofErr w:type="spellEnd"/>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宋体" w:hAnsi="宋体" w:hint="eastAsia"/>
                <w:color w:val="0000FF"/>
                <w:kern w:val="0"/>
                <w:sz w:val="22"/>
              </w:rPr>
              <w:t>海天网联</w:t>
            </w:r>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 xml:space="preserve">Weber </w:t>
            </w:r>
            <w:proofErr w:type="spellStart"/>
            <w:r w:rsidRPr="00977101">
              <w:rPr>
                <w:rFonts w:ascii="Times New Roman" w:hAnsi="Times New Roman"/>
                <w:color w:val="0000FF"/>
                <w:kern w:val="0"/>
                <w:sz w:val="22"/>
              </w:rPr>
              <w:t>Shandwick</w:t>
            </w:r>
            <w:proofErr w:type="spellEnd"/>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hint="eastAsia"/>
                <w:color w:val="0000FF"/>
                <w:kern w:val="0"/>
                <w:sz w:val="22"/>
              </w:rPr>
              <w:t>万</w:t>
            </w:r>
            <w:proofErr w:type="gramStart"/>
            <w:r w:rsidRPr="00977101">
              <w:rPr>
                <w:rFonts w:ascii="Times New Roman" w:hAnsi="Times New Roman" w:hint="eastAsia"/>
                <w:color w:val="0000FF"/>
                <w:kern w:val="0"/>
                <w:sz w:val="22"/>
              </w:rPr>
              <w:t>博宣伟</w:t>
            </w:r>
            <w:proofErr w:type="gramEnd"/>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HIGHTRAN</w:t>
            </w:r>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宋体" w:cs="宋体"/>
                <w:color w:val="0000FF"/>
                <w:kern w:val="0"/>
                <w:sz w:val="22"/>
              </w:rPr>
            </w:pPr>
            <w:r w:rsidRPr="00977101">
              <w:rPr>
                <w:rFonts w:ascii="宋体" w:hAnsi="宋体" w:cs="宋体" w:hint="eastAsia"/>
                <w:color w:val="0000FF"/>
                <w:kern w:val="0"/>
                <w:sz w:val="22"/>
              </w:rPr>
              <w:t>海</w:t>
            </w:r>
            <w:proofErr w:type="gramStart"/>
            <w:r w:rsidRPr="00977101">
              <w:rPr>
                <w:rFonts w:ascii="宋体" w:hAnsi="宋体" w:cs="宋体" w:hint="eastAsia"/>
                <w:color w:val="0000FF"/>
                <w:kern w:val="0"/>
                <w:sz w:val="22"/>
              </w:rPr>
              <w:t>辰</w:t>
            </w:r>
            <w:r w:rsidR="00F41391">
              <w:rPr>
                <w:rFonts w:ascii="宋体" w:hAnsi="宋体" w:cs="宋体" w:hint="eastAsia"/>
                <w:color w:val="0000FF"/>
                <w:kern w:val="0"/>
                <w:sz w:val="22"/>
              </w:rPr>
              <w:t>机构</w:t>
            </w:r>
            <w:proofErr w:type="gramEnd"/>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color w:val="0000FF"/>
                <w:kern w:val="0"/>
                <w:sz w:val="22"/>
              </w:rPr>
              <w:t>Zenith-</w:t>
            </w:r>
            <w:proofErr w:type="spellStart"/>
            <w:r w:rsidRPr="00977101">
              <w:rPr>
                <w:rFonts w:ascii="Times New Roman" w:hAnsi="Times New Roman"/>
                <w:color w:val="0000FF"/>
                <w:kern w:val="0"/>
                <w:sz w:val="22"/>
              </w:rPr>
              <w:t>Utop</w:t>
            </w:r>
            <w:proofErr w:type="spellEnd"/>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gramStart"/>
            <w:r w:rsidRPr="00977101">
              <w:rPr>
                <w:rFonts w:ascii="Times New Roman" w:hAnsi="Times New Roman" w:hint="eastAsia"/>
                <w:color w:val="0000FF"/>
                <w:kern w:val="0"/>
                <w:sz w:val="22"/>
              </w:rPr>
              <w:t>哲基友拓</w:t>
            </w:r>
            <w:proofErr w:type="gramEnd"/>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proofErr w:type="spellStart"/>
            <w:r w:rsidRPr="00977101">
              <w:rPr>
                <w:rFonts w:ascii="Times New Roman" w:hAnsi="Times New Roman"/>
                <w:color w:val="0000FF"/>
                <w:kern w:val="0"/>
                <w:sz w:val="22"/>
              </w:rPr>
              <w:t>Hill+Knowlton</w:t>
            </w:r>
            <w:proofErr w:type="spellEnd"/>
          </w:p>
        </w:tc>
        <w:tc>
          <w:tcPr>
            <w:tcW w:w="208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宋体" w:cs="宋体"/>
                <w:color w:val="0000FF"/>
                <w:kern w:val="0"/>
                <w:sz w:val="22"/>
              </w:rPr>
            </w:pPr>
            <w:r w:rsidRPr="00977101">
              <w:rPr>
                <w:rFonts w:ascii="宋体" w:hAnsi="宋体" w:cs="宋体" w:hint="eastAsia"/>
                <w:color w:val="0000FF"/>
                <w:kern w:val="0"/>
                <w:sz w:val="22"/>
              </w:rPr>
              <w:t>伟达公关</w:t>
            </w:r>
          </w:p>
        </w:tc>
        <w:tc>
          <w:tcPr>
            <w:tcW w:w="192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hint="eastAsia"/>
                <w:color w:val="0000FF"/>
                <w:kern w:val="0"/>
                <w:sz w:val="22"/>
              </w:rPr>
              <w:t xml:space="preserve">　</w:t>
            </w:r>
          </w:p>
        </w:tc>
        <w:tc>
          <w:tcPr>
            <w:tcW w:w="2200" w:type="dxa"/>
            <w:tcBorders>
              <w:top w:val="nil"/>
              <w:left w:val="nil"/>
              <w:bottom w:val="nil"/>
              <w:right w:val="nil"/>
            </w:tcBorders>
            <w:shd w:val="clear" w:color="000000" w:fill="FFFFFF"/>
            <w:noWrap/>
            <w:vAlign w:val="center"/>
          </w:tcPr>
          <w:p w:rsidR="007C06C0" w:rsidRPr="00977101" w:rsidRDefault="007C06C0" w:rsidP="003F636E">
            <w:pPr>
              <w:widowControl/>
              <w:jc w:val="left"/>
              <w:rPr>
                <w:rFonts w:ascii="Times New Roman" w:hAnsi="Times New Roman"/>
                <w:color w:val="0000FF"/>
                <w:kern w:val="0"/>
                <w:sz w:val="22"/>
              </w:rPr>
            </w:pPr>
            <w:r w:rsidRPr="00977101">
              <w:rPr>
                <w:rFonts w:ascii="Times New Roman" w:hAnsi="Times New Roman" w:hint="eastAsia"/>
                <w:color w:val="0000FF"/>
                <w:kern w:val="0"/>
                <w:sz w:val="22"/>
              </w:rPr>
              <w:t xml:space="preserve">　</w:t>
            </w:r>
          </w:p>
        </w:tc>
      </w:tr>
    </w:tbl>
    <w:p w:rsidR="007C06C0" w:rsidRDefault="007C06C0" w:rsidP="00886838">
      <w:pPr>
        <w:spacing w:beforeLines="50" w:afterLines="50"/>
        <w:ind w:left="413" w:hangingChars="196" w:hanging="413"/>
        <w:rPr>
          <w:b/>
        </w:rPr>
      </w:pPr>
    </w:p>
    <w:p w:rsidR="009941B3" w:rsidRDefault="009941B3" w:rsidP="00886838">
      <w:pPr>
        <w:spacing w:beforeLines="50" w:afterLines="50"/>
        <w:ind w:left="412" w:hangingChars="196" w:hanging="412"/>
      </w:pPr>
    </w:p>
    <w:p w:rsidR="007C06C0" w:rsidRDefault="007C06C0" w:rsidP="00886838">
      <w:pPr>
        <w:spacing w:beforeLines="50" w:afterLines="50"/>
        <w:ind w:left="412" w:hangingChars="196" w:hanging="412"/>
      </w:pPr>
    </w:p>
    <w:p w:rsidR="007C06C0" w:rsidRDefault="007C06C0" w:rsidP="00886838">
      <w:pPr>
        <w:spacing w:beforeLines="50" w:afterLines="50"/>
        <w:ind w:left="412" w:hangingChars="196" w:hanging="412"/>
      </w:pPr>
    </w:p>
    <w:p w:rsidR="007C06C0" w:rsidRPr="00F62F76" w:rsidRDefault="007C06C0" w:rsidP="003F636E">
      <w:pPr>
        <w:jc w:val="center"/>
        <w:rPr>
          <w:rFonts w:ascii="Arial Rounded MT Bold" w:hAnsi="Arial Rounded MT Bold"/>
          <w:color w:val="0000FF"/>
        </w:rPr>
      </w:pPr>
      <w:r>
        <w:rPr>
          <w:rFonts w:ascii="华文中宋" w:eastAsia="华文中宋" w:hAnsi="华文中宋"/>
          <w:b/>
          <w:bCs/>
          <w:sz w:val="28"/>
        </w:rPr>
        <w:lastRenderedPageBreak/>
        <w:t>2012</w:t>
      </w:r>
      <w:r>
        <w:rPr>
          <w:rFonts w:ascii="华文中宋" w:eastAsia="华文中宋" w:hAnsi="华文中宋" w:hint="eastAsia"/>
          <w:b/>
          <w:bCs/>
          <w:sz w:val="28"/>
        </w:rPr>
        <w:t>年度最具成长性公司榜单</w:t>
      </w:r>
    </w:p>
    <w:p w:rsidR="007C06C0" w:rsidRDefault="007C06C0" w:rsidP="003F636E">
      <w:pPr>
        <w:widowControl/>
        <w:jc w:val="center"/>
        <w:rPr>
          <w:rFonts w:ascii="宋体"/>
        </w:rPr>
      </w:pPr>
      <w:r>
        <w:rPr>
          <w:rFonts w:ascii="宋体" w:hAnsi="宋体" w:hint="eastAsia"/>
        </w:rPr>
        <w:t>（按公司品牌英文名排序）</w:t>
      </w:r>
    </w:p>
    <w:p w:rsidR="007C06C0" w:rsidRDefault="007C06C0" w:rsidP="003F636E">
      <w:pPr>
        <w:widowControl/>
        <w:jc w:val="center"/>
        <w:rPr>
          <w:rFonts w:ascii="宋体"/>
        </w:rPr>
      </w:pPr>
    </w:p>
    <w:tbl>
      <w:tblPr>
        <w:tblW w:w="8460" w:type="dxa"/>
        <w:tblInd w:w="93" w:type="dxa"/>
        <w:tblLook w:val="00A0"/>
      </w:tblPr>
      <w:tblGrid>
        <w:gridCol w:w="2260"/>
        <w:gridCol w:w="2080"/>
        <w:gridCol w:w="1920"/>
        <w:gridCol w:w="2200"/>
      </w:tblGrid>
      <w:tr w:rsidR="007C06C0" w:rsidRPr="00743B68" w:rsidTr="00EF67FC">
        <w:trPr>
          <w:trHeight w:val="315"/>
        </w:trPr>
        <w:tc>
          <w:tcPr>
            <w:tcW w:w="226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smartTag w:uri="urn:schemas-microsoft-com:office:smarttags" w:element="place">
              <w:r w:rsidRPr="00E85B1A">
                <w:rPr>
                  <w:rFonts w:ascii="Times New Roman" w:hAnsi="Times New Roman"/>
                  <w:color w:val="0000FF"/>
                  <w:kern w:val="0"/>
                  <w:sz w:val="22"/>
                </w:rPr>
                <w:t>Assyria</w:t>
              </w:r>
            </w:smartTag>
          </w:p>
        </w:tc>
        <w:tc>
          <w:tcPr>
            <w:tcW w:w="208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proofErr w:type="gramStart"/>
            <w:r w:rsidRPr="00E85B1A">
              <w:rPr>
                <w:rFonts w:ascii="Times New Roman" w:hAnsi="Times New Roman" w:hint="eastAsia"/>
                <w:color w:val="0000FF"/>
                <w:kern w:val="0"/>
                <w:sz w:val="22"/>
              </w:rPr>
              <w:t>融创公关</w:t>
            </w:r>
            <w:proofErr w:type="gramEnd"/>
          </w:p>
        </w:tc>
        <w:tc>
          <w:tcPr>
            <w:tcW w:w="192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color w:val="0000FF"/>
                <w:kern w:val="0"/>
                <w:sz w:val="22"/>
              </w:rPr>
              <w:t>Potential Power</w:t>
            </w:r>
          </w:p>
        </w:tc>
        <w:tc>
          <w:tcPr>
            <w:tcW w:w="220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hint="eastAsia"/>
                <w:color w:val="0000FF"/>
                <w:kern w:val="0"/>
                <w:sz w:val="22"/>
              </w:rPr>
              <w:t>势能整合</w:t>
            </w:r>
          </w:p>
        </w:tc>
      </w:tr>
      <w:tr w:rsidR="007C06C0" w:rsidRPr="00743B68" w:rsidTr="00EF67FC">
        <w:trPr>
          <w:trHeight w:val="315"/>
        </w:trPr>
        <w:tc>
          <w:tcPr>
            <w:tcW w:w="226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proofErr w:type="spellStart"/>
            <w:r w:rsidRPr="00E85B1A">
              <w:rPr>
                <w:rFonts w:ascii="Times New Roman" w:hAnsi="Times New Roman"/>
                <w:color w:val="0000FF"/>
                <w:kern w:val="0"/>
                <w:sz w:val="22"/>
              </w:rPr>
              <w:t>Cenbo</w:t>
            </w:r>
            <w:proofErr w:type="spellEnd"/>
          </w:p>
        </w:tc>
        <w:tc>
          <w:tcPr>
            <w:tcW w:w="208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proofErr w:type="gramStart"/>
            <w:r w:rsidRPr="00E85B1A">
              <w:rPr>
                <w:rFonts w:ascii="Times New Roman" w:hAnsi="Times New Roman" w:hint="eastAsia"/>
                <w:color w:val="0000FF"/>
                <w:kern w:val="0"/>
                <w:sz w:val="22"/>
              </w:rPr>
              <w:t>森博公关</w:t>
            </w:r>
            <w:proofErr w:type="gramEnd"/>
          </w:p>
        </w:tc>
        <w:tc>
          <w:tcPr>
            <w:tcW w:w="192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proofErr w:type="spellStart"/>
            <w:r w:rsidRPr="00E85B1A">
              <w:rPr>
                <w:rFonts w:ascii="Times New Roman" w:hAnsi="Times New Roman"/>
                <w:color w:val="0000FF"/>
                <w:kern w:val="0"/>
                <w:sz w:val="22"/>
              </w:rPr>
              <w:t>Revo</w:t>
            </w:r>
            <w:proofErr w:type="spellEnd"/>
          </w:p>
        </w:tc>
        <w:tc>
          <w:tcPr>
            <w:tcW w:w="220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宋体" w:cs="宋体"/>
                <w:color w:val="0000FF"/>
                <w:kern w:val="0"/>
                <w:sz w:val="22"/>
              </w:rPr>
            </w:pPr>
            <w:proofErr w:type="gramStart"/>
            <w:r w:rsidRPr="00E85B1A">
              <w:rPr>
                <w:rFonts w:ascii="宋体" w:hAnsi="宋体" w:cs="宋体" w:hint="eastAsia"/>
                <w:color w:val="0000FF"/>
                <w:kern w:val="0"/>
                <w:sz w:val="22"/>
              </w:rPr>
              <w:t>睿符品牌</w:t>
            </w:r>
            <w:proofErr w:type="gramEnd"/>
          </w:p>
        </w:tc>
      </w:tr>
      <w:tr w:rsidR="007C06C0" w:rsidRPr="00743B68" w:rsidTr="00EF67FC">
        <w:trPr>
          <w:trHeight w:val="315"/>
        </w:trPr>
        <w:tc>
          <w:tcPr>
            <w:tcW w:w="226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Pr>
                <w:rFonts w:ascii="Times New Roman" w:hAnsi="Times New Roman"/>
                <w:color w:val="0000FF"/>
                <w:kern w:val="0"/>
                <w:sz w:val="22"/>
              </w:rPr>
              <w:t xml:space="preserve">Global </w:t>
            </w:r>
            <w:proofErr w:type="spellStart"/>
            <w:r>
              <w:rPr>
                <w:rFonts w:ascii="Times New Roman" w:hAnsi="Times New Roman"/>
                <w:color w:val="0000FF"/>
                <w:kern w:val="0"/>
                <w:sz w:val="22"/>
              </w:rPr>
              <w:t>Raytu</w:t>
            </w:r>
            <w:r>
              <w:rPr>
                <w:rFonts w:ascii="Times New Roman" w:hAnsi="Times New Roman" w:hint="eastAsia"/>
                <w:color w:val="0000FF"/>
                <w:kern w:val="0"/>
                <w:sz w:val="22"/>
              </w:rPr>
              <w:t>r</w:t>
            </w:r>
            <w:proofErr w:type="spellEnd"/>
          </w:p>
        </w:tc>
        <w:tc>
          <w:tcPr>
            <w:tcW w:w="208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proofErr w:type="gramStart"/>
            <w:r>
              <w:rPr>
                <w:rFonts w:ascii="Times New Roman" w:hAnsi="Times New Roman" w:hint="eastAsia"/>
                <w:color w:val="0000FF"/>
                <w:kern w:val="0"/>
                <w:sz w:val="22"/>
              </w:rPr>
              <w:t>环球瑞都</w:t>
            </w:r>
            <w:proofErr w:type="gramEnd"/>
          </w:p>
        </w:tc>
        <w:tc>
          <w:tcPr>
            <w:tcW w:w="192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color w:val="0000FF"/>
                <w:kern w:val="0"/>
                <w:sz w:val="22"/>
              </w:rPr>
              <w:t>S&amp;W</w:t>
            </w:r>
          </w:p>
        </w:tc>
        <w:tc>
          <w:tcPr>
            <w:tcW w:w="220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hint="eastAsia"/>
                <w:color w:val="0000FF"/>
                <w:kern w:val="0"/>
                <w:sz w:val="22"/>
              </w:rPr>
              <w:t>宇修公关</w:t>
            </w:r>
          </w:p>
        </w:tc>
      </w:tr>
      <w:tr w:rsidR="007C06C0" w:rsidRPr="00743B68" w:rsidTr="00EF67FC">
        <w:trPr>
          <w:trHeight w:val="315"/>
        </w:trPr>
        <w:tc>
          <w:tcPr>
            <w:tcW w:w="226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proofErr w:type="spellStart"/>
            <w:r w:rsidRPr="00E85B1A">
              <w:rPr>
                <w:rFonts w:ascii="Times New Roman" w:hAnsi="Times New Roman"/>
                <w:color w:val="0000FF"/>
                <w:kern w:val="0"/>
                <w:sz w:val="22"/>
              </w:rPr>
              <w:t>Linksense</w:t>
            </w:r>
            <w:proofErr w:type="spellEnd"/>
          </w:p>
        </w:tc>
        <w:tc>
          <w:tcPr>
            <w:tcW w:w="208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hint="eastAsia"/>
                <w:color w:val="0000FF"/>
                <w:kern w:val="0"/>
                <w:sz w:val="22"/>
              </w:rPr>
              <w:t>联华盛世</w:t>
            </w:r>
          </w:p>
        </w:tc>
        <w:tc>
          <w:tcPr>
            <w:tcW w:w="192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color w:val="0000FF"/>
                <w:kern w:val="0"/>
                <w:sz w:val="22"/>
              </w:rPr>
              <w:t>SDPR</w:t>
            </w:r>
          </w:p>
        </w:tc>
        <w:tc>
          <w:tcPr>
            <w:tcW w:w="220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hint="eastAsia"/>
                <w:color w:val="0000FF"/>
                <w:kern w:val="0"/>
                <w:sz w:val="22"/>
              </w:rPr>
              <w:t>深度传媒</w:t>
            </w:r>
          </w:p>
        </w:tc>
      </w:tr>
      <w:tr w:rsidR="007C06C0" w:rsidRPr="00743B68" w:rsidTr="00EF67FC">
        <w:trPr>
          <w:trHeight w:val="300"/>
        </w:trPr>
        <w:tc>
          <w:tcPr>
            <w:tcW w:w="226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color w:val="0000FF"/>
                <w:kern w:val="0"/>
                <w:sz w:val="22"/>
              </w:rPr>
              <w:t>LONG LEGACY</w:t>
            </w:r>
          </w:p>
        </w:tc>
        <w:tc>
          <w:tcPr>
            <w:tcW w:w="208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hint="eastAsia"/>
                <w:color w:val="0000FF"/>
                <w:kern w:val="0"/>
                <w:sz w:val="22"/>
              </w:rPr>
              <w:t>龙</w:t>
            </w:r>
            <w:proofErr w:type="gramStart"/>
            <w:r w:rsidRPr="00E85B1A">
              <w:rPr>
                <w:rFonts w:ascii="Times New Roman" w:hAnsi="Times New Roman" w:hint="eastAsia"/>
                <w:color w:val="0000FF"/>
                <w:kern w:val="0"/>
                <w:sz w:val="22"/>
              </w:rPr>
              <w:t>世嘉蓝</w:t>
            </w:r>
            <w:proofErr w:type="gramEnd"/>
          </w:p>
        </w:tc>
        <w:tc>
          <w:tcPr>
            <w:tcW w:w="192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color w:val="0000FF"/>
                <w:kern w:val="0"/>
                <w:sz w:val="22"/>
              </w:rPr>
              <w:t>WINS</w:t>
            </w:r>
          </w:p>
        </w:tc>
        <w:tc>
          <w:tcPr>
            <w:tcW w:w="2200" w:type="dxa"/>
            <w:tcBorders>
              <w:top w:val="nil"/>
              <w:left w:val="nil"/>
              <w:bottom w:val="nil"/>
              <w:right w:val="nil"/>
            </w:tcBorders>
            <w:shd w:val="clear" w:color="000000" w:fill="FFFFFF"/>
            <w:noWrap/>
            <w:vAlign w:val="center"/>
          </w:tcPr>
          <w:p w:rsidR="007C06C0" w:rsidRPr="00E85B1A" w:rsidRDefault="007C06C0" w:rsidP="003F636E">
            <w:pPr>
              <w:widowControl/>
              <w:jc w:val="left"/>
              <w:rPr>
                <w:rFonts w:ascii="Times New Roman" w:hAnsi="Times New Roman"/>
                <w:color w:val="0000FF"/>
                <w:kern w:val="0"/>
                <w:sz w:val="22"/>
              </w:rPr>
            </w:pPr>
            <w:r w:rsidRPr="00E85B1A">
              <w:rPr>
                <w:rFonts w:ascii="Times New Roman" w:hAnsi="Times New Roman" w:hint="eastAsia"/>
                <w:color w:val="0000FF"/>
                <w:kern w:val="0"/>
                <w:sz w:val="22"/>
              </w:rPr>
              <w:t>汪氏整合</w:t>
            </w:r>
          </w:p>
        </w:tc>
      </w:tr>
    </w:tbl>
    <w:p w:rsidR="007C06C0" w:rsidRPr="00651F81" w:rsidRDefault="007C06C0" w:rsidP="003F636E">
      <w:pPr>
        <w:widowControl/>
        <w:jc w:val="center"/>
        <w:rPr>
          <w:rFonts w:ascii="华文中宋" w:eastAsia="华文中宋" w:hAnsi="华文中宋"/>
          <w:b/>
          <w:bCs/>
          <w:sz w:val="36"/>
          <w:szCs w:val="36"/>
        </w:rPr>
      </w:pPr>
      <w:r>
        <w:rPr>
          <w:rFonts w:ascii="华文中宋" w:eastAsia="华文中宋" w:hAnsi="华文中宋"/>
          <w:b/>
          <w:bCs/>
          <w:sz w:val="36"/>
          <w:szCs w:val="36"/>
        </w:rPr>
        <w:br w:type="page"/>
      </w:r>
      <w:r w:rsidRPr="00651F81">
        <w:rPr>
          <w:rFonts w:ascii="华文中宋" w:eastAsia="华文中宋" w:hAnsi="华文中宋" w:hint="eastAsia"/>
          <w:b/>
          <w:bCs/>
          <w:sz w:val="36"/>
          <w:szCs w:val="36"/>
        </w:rPr>
        <w:lastRenderedPageBreak/>
        <w:t>行业</w:t>
      </w:r>
      <w:r>
        <w:rPr>
          <w:rFonts w:ascii="华文中宋" w:eastAsia="华文中宋" w:hAnsi="华文中宋" w:hint="eastAsia"/>
          <w:b/>
          <w:bCs/>
          <w:sz w:val="36"/>
          <w:szCs w:val="36"/>
        </w:rPr>
        <w:t>调查分析</w:t>
      </w:r>
    </w:p>
    <w:p w:rsidR="007C06C0" w:rsidRPr="00D62D5D" w:rsidRDefault="007C06C0" w:rsidP="00886838">
      <w:pPr>
        <w:spacing w:beforeLines="50" w:afterLines="50" w:line="276" w:lineRule="auto"/>
        <w:ind w:firstLine="435"/>
        <w:rPr>
          <w:rFonts w:ascii="Times New Roman" w:hAnsi="Times New Roman"/>
          <w:b/>
          <w:szCs w:val="21"/>
        </w:rPr>
      </w:pPr>
      <w:r>
        <w:rPr>
          <w:rFonts w:ascii="Times New Roman" w:hAnsi="宋体" w:hint="eastAsia"/>
          <w:szCs w:val="21"/>
        </w:rPr>
        <w:t>随着中国</w:t>
      </w:r>
      <w:r w:rsidRPr="00D62D5D">
        <w:rPr>
          <w:rFonts w:ascii="Times New Roman" w:hAnsi="宋体" w:hint="eastAsia"/>
          <w:szCs w:val="21"/>
        </w:rPr>
        <w:t>经济的快速发展，中国公共关系市场</w:t>
      </w:r>
      <w:r>
        <w:rPr>
          <w:rFonts w:ascii="Times New Roman" w:hAnsi="宋体"/>
          <w:szCs w:val="21"/>
        </w:rPr>
        <w:t>2012</w:t>
      </w:r>
      <w:r>
        <w:rPr>
          <w:rFonts w:ascii="Times New Roman" w:hAnsi="宋体" w:hint="eastAsia"/>
          <w:szCs w:val="21"/>
        </w:rPr>
        <w:t>年延续了</w:t>
      </w:r>
      <w:r w:rsidRPr="00D62D5D">
        <w:rPr>
          <w:rFonts w:ascii="Times New Roman" w:hAnsi="宋体" w:hint="eastAsia"/>
          <w:szCs w:val="21"/>
        </w:rPr>
        <w:t>快速增长的发展势头</w:t>
      </w:r>
      <w:r>
        <w:rPr>
          <w:rFonts w:ascii="Times New Roman" w:hAnsi="宋体" w:hint="eastAsia"/>
          <w:szCs w:val="21"/>
        </w:rPr>
        <w:t>，但增速</w:t>
      </w:r>
      <w:r w:rsidR="006B076A">
        <w:rPr>
          <w:rFonts w:ascii="Times New Roman" w:hAnsi="宋体" w:hint="eastAsia"/>
          <w:szCs w:val="21"/>
        </w:rPr>
        <w:t>有所</w:t>
      </w:r>
      <w:r>
        <w:rPr>
          <w:rFonts w:ascii="Times New Roman" w:hAnsi="宋体" w:hint="eastAsia"/>
          <w:szCs w:val="21"/>
        </w:rPr>
        <w:t>放缓</w:t>
      </w:r>
      <w:r w:rsidRPr="00D62D5D">
        <w:rPr>
          <w:rFonts w:ascii="Times New Roman" w:hAnsi="宋体" w:hint="eastAsia"/>
          <w:szCs w:val="21"/>
        </w:rPr>
        <w:t>。</w:t>
      </w:r>
      <w:r w:rsidRPr="00D62D5D">
        <w:rPr>
          <w:rFonts w:ascii="Times New Roman" w:hAnsi="宋体" w:hint="eastAsia"/>
          <w:b/>
          <w:szCs w:val="21"/>
        </w:rPr>
        <w:t>据调查估算，整个市场的年营业规模约为</w:t>
      </w:r>
      <w:r w:rsidRPr="00D62D5D">
        <w:rPr>
          <w:rFonts w:ascii="Times New Roman" w:hAnsi="Times New Roman"/>
          <w:b/>
          <w:szCs w:val="21"/>
        </w:rPr>
        <w:t>3</w:t>
      </w:r>
      <w:r>
        <w:rPr>
          <w:rFonts w:ascii="Times New Roman" w:hAnsi="Times New Roman"/>
          <w:b/>
          <w:szCs w:val="21"/>
        </w:rPr>
        <w:t>03</w:t>
      </w:r>
      <w:r w:rsidRPr="00D62D5D">
        <w:rPr>
          <w:rFonts w:ascii="Times New Roman" w:hAnsi="宋体" w:hint="eastAsia"/>
          <w:b/>
          <w:szCs w:val="21"/>
        </w:rPr>
        <w:t>亿元人民币左右，年增长率为</w:t>
      </w:r>
      <w:r>
        <w:rPr>
          <w:rFonts w:ascii="Times New Roman" w:hAnsi="Times New Roman"/>
          <w:b/>
          <w:szCs w:val="21"/>
        </w:rPr>
        <w:t>16.5</w:t>
      </w:r>
      <w:r w:rsidRPr="00D62D5D">
        <w:rPr>
          <w:rFonts w:ascii="Times New Roman" w:hAnsi="Times New Roman"/>
          <w:b/>
          <w:szCs w:val="21"/>
        </w:rPr>
        <w:t>%</w:t>
      </w:r>
      <w:r>
        <w:rPr>
          <w:rFonts w:ascii="Times New Roman" w:hAnsi="宋体" w:hint="eastAsia"/>
          <w:b/>
          <w:szCs w:val="21"/>
        </w:rPr>
        <w:t>，相比</w:t>
      </w:r>
      <w:r>
        <w:rPr>
          <w:rFonts w:ascii="Times New Roman" w:hAnsi="宋体"/>
          <w:b/>
          <w:szCs w:val="21"/>
        </w:rPr>
        <w:t>2011</w:t>
      </w:r>
      <w:r>
        <w:rPr>
          <w:rFonts w:ascii="Times New Roman" w:hAnsi="宋体" w:hint="eastAsia"/>
          <w:b/>
          <w:szCs w:val="21"/>
        </w:rPr>
        <w:t>年</w:t>
      </w:r>
      <w:r>
        <w:rPr>
          <w:rFonts w:ascii="Times New Roman" w:hAnsi="宋体"/>
          <w:b/>
          <w:szCs w:val="21"/>
        </w:rPr>
        <w:t>23.8%</w:t>
      </w:r>
      <w:r>
        <w:rPr>
          <w:rFonts w:ascii="Times New Roman" w:hAnsi="宋体" w:hint="eastAsia"/>
          <w:b/>
          <w:szCs w:val="21"/>
        </w:rPr>
        <w:t>的增长率</w:t>
      </w:r>
      <w:r w:rsidR="00636C81">
        <w:rPr>
          <w:rFonts w:ascii="Times New Roman" w:hAnsi="宋体" w:hint="eastAsia"/>
          <w:b/>
          <w:szCs w:val="21"/>
        </w:rPr>
        <w:t>有所</w:t>
      </w:r>
      <w:r>
        <w:rPr>
          <w:rFonts w:ascii="Times New Roman" w:hAnsi="宋体" w:hint="eastAsia"/>
          <w:b/>
          <w:szCs w:val="21"/>
        </w:rPr>
        <w:t>放缓</w:t>
      </w:r>
      <w:r w:rsidRPr="00D62D5D">
        <w:rPr>
          <w:rFonts w:ascii="Times New Roman" w:hAnsi="宋体" w:hint="eastAsia"/>
          <w:b/>
          <w:szCs w:val="21"/>
        </w:rPr>
        <w:t>。调查显示，</w:t>
      </w:r>
      <w:r w:rsidRPr="00D62D5D">
        <w:rPr>
          <w:rFonts w:ascii="Times New Roman" w:hAnsi="Times New Roman"/>
          <w:b/>
          <w:szCs w:val="21"/>
        </w:rPr>
        <w:t>TOP2</w:t>
      </w:r>
      <w:r>
        <w:rPr>
          <w:rFonts w:ascii="Times New Roman" w:hAnsi="Times New Roman"/>
          <w:b/>
          <w:szCs w:val="21"/>
        </w:rPr>
        <w:t>5</w:t>
      </w:r>
      <w:r w:rsidRPr="00D62D5D">
        <w:rPr>
          <w:rFonts w:ascii="Times New Roman" w:hAnsi="宋体" w:hint="eastAsia"/>
          <w:b/>
          <w:szCs w:val="21"/>
        </w:rPr>
        <w:t>公司的年营业额增长</w:t>
      </w:r>
      <w:r>
        <w:rPr>
          <w:rFonts w:ascii="Times New Roman" w:hAnsi="宋体" w:hint="eastAsia"/>
          <w:b/>
          <w:szCs w:val="21"/>
        </w:rPr>
        <w:t>达到</w:t>
      </w:r>
      <w:r>
        <w:rPr>
          <w:rFonts w:ascii="Times New Roman" w:hAnsi="Times New Roman"/>
          <w:b/>
          <w:szCs w:val="21"/>
        </w:rPr>
        <w:t>15.5</w:t>
      </w:r>
      <w:r w:rsidRPr="00D62D5D">
        <w:rPr>
          <w:rFonts w:ascii="Times New Roman" w:hAnsi="Times New Roman"/>
          <w:b/>
          <w:szCs w:val="21"/>
        </w:rPr>
        <w:t>%</w:t>
      </w:r>
      <w:r>
        <w:rPr>
          <w:rFonts w:ascii="Times New Roman" w:hAnsi="Times New Roman" w:hint="eastAsia"/>
          <w:b/>
          <w:szCs w:val="21"/>
        </w:rPr>
        <w:t>，接近于行业平均增长速度</w:t>
      </w:r>
      <w:r w:rsidRPr="00D62D5D">
        <w:rPr>
          <w:rFonts w:ascii="Times New Roman" w:hAnsi="宋体" w:hint="eastAsia"/>
          <w:b/>
          <w:szCs w:val="21"/>
        </w:rPr>
        <w:t>。</w:t>
      </w:r>
    </w:p>
    <w:p w:rsidR="007C06C0" w:rsidRPr="00D62D5D" w:rsidRDefault="007C06C0" w:rsidP="003F636E">
      <w:pPr>
        <w:rPr>
          <w:rFonts w:ascii="Times New Roman" w:hAnsi="Times New Roman"/>
          <w:szCs w:val="21"/>
        </w:rPr>
      </w:pPr>
      <w:r>
        <w:rPr>
          <w:rFonts w:ascii="Times New Roman" w:hAnsi="Times New Roman"/>
          <w:noProof/>
          <w:szCs w:val="21"/>
        </w:rPr>
        <w:drawing>
          <wp:inline distT="0" distB="0" distL="0" distR="0">
            <wp:extent cx="5286375" cy="2933700"/>
            <wp:effectExtent l="0" t="0" r="0" b="0"/>
            <wp:docPr id="5" name="对象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06C0" w:rsidRDefault="007C06C0" w:rsidP="003F636E">
      <w:pPr>
        <w:jc w:val="center"/>
        <w:rPr>
          <w:rFonts w:ascii="黑体" w:eastAsia="黑体" w:hAnsi="黑体"/>
          <w:szCs w:val="21"/>
        </w:rPr>
      </w:pPr>
      <w:r w:rsidRPr="00E85B1A">
        <w:rPr>
          <w:rFonts w:ascii="黑体" w:eastAsia="黑体" w:hAnsi="黑体" w:hint="eastAsia"/>
          <w:szCs w:val="21"/>
        </w:rPr>
        <w:t>图</w:t>
      </w:r>
      <w:r w:rsidRPr="00E85B1A">
        <w:rPr>
          <w:rFonts w:ascii="黑体" w:eastAsia="黑体" w:hAnsi="黑体"/>
          <w:szCs w:val="21"/>
        </w:rPr>
        <w:t xml:space="preserve">1  </w:t>
      </w:r>
      <w:r w:rsidRPr="00E85B1A">
        <w:rPr>
          <w:rFonts w:ascii="黑体" w:eastAsia="黑体" w:hAnsi="黑体" w:hint="eastAsia"/>
          <w:szCs w:val="21"/>
        </w:rPr>
        <w:t>年度营业额变化（亿元）</w:t>
      </w:r>
    </w:p>
    <w:p w:rsidR="007C06C0" w:rsidRPr="00F20E12" w:rsidRDefault="007C06C0" w:rsidP="003F636E">
      <w:pPr>
        <w:jc w:val="center"/>
        <w:rPr>
          <w:rFonts w:ascii="黑体" w:eastAsia="黑体" w:hAnsi="黑体"/>
          <w:szCs w:val="21"/>
        </w:rPr>
      </w:pPr>
    </w:p>
    <w:p w:rsidR="007C06C0" w:rsidRDefault="007C06C0" w:rsidP="003F636E">
      <w:pPr>
        <w:spacing w:line="276" w:lineRule="auto"/>
        <w:ind w:firstLine="435"/>
        <w:rPr>
          <w:rFonts w:ascii="Times New Roman"/>
          <w:szCs w:val="21"/>
        </w:rPr>
      </w:pPr>
      <w:r w:rsidRPr="00D62D5D">
        <w:rPr>
          <w:rFonts w:ascii="Times New Roman" w:hint="eastAsia"/>
          <w:szCs w:val="21"/>
        </w:rPr>
        <w:t>调查显示，</w:t>
      </w:r>
      <w:r w:rsidRPr="00D62D5D">
        <w:rPr>
          <w:rFonts w:ascii="Times New Roman" w:hAnsi="Times New Roman"/>
          <w:szCs w:val="21"/>
        </w:rPr>
        <w:t>2012</w:t>
      </w:r>
      <w:r w:rsidRPr="00D62D5D">
        <w:rPr>
          <w:rFonts w:ascii="Times New Roman" w:hint="eastAsia"/>
          <w:szCs w:val="21"/>
        </w:rPr>
        <w:t>年度</w:t>
      </w:r>
      <w:r>
        <w:rPr>
          <w:rFonts w:ascii="Times New Roman" w:hint="eastAsia"/>
          <w:szCs w:val="21"/>
        </w:rPr>
        <w:t>中国</w:t>
      </w:r>
      <w:r w:rsidRPr="00D62D5D">
        <w:rPr>
          <w:rFonts w:ascii="Times New Roman" w:hint="eastAsia"/>
          <w:szCs w:val="21"/>
        </w:rPr>
        <w:t>公共关系服务市场的前四位为汽车、快速消费、</w:t>
      </w:r>
      <w:r w:rsidRPr="00D62D5D">
        <w:rPr>
          <w:rFonts w:ascii="Times New Roman" w:hAnsi="Times New Roman"/>
          <w:szCs w:val="21"/>
        </w:rPr>
        <w:t>IT</w:t>
      </w:r>
      <w:r w:rsidRPr="00D62D5D">
        <w:rPr>
          <w:rFonts w:ascii="Times New Roman" w:hint="eastAsia"/>
          <w:szCs w:val="21"/>
        </w:rPr>
        <w:t>、金融，市场份额分别为</w:t>
      </w:r>
      <w:r w:rsidRPr="00D62D5D">
        <w:rPr>
          <w:rFonts w:ascii="Times New Roman" w:hAnsi="Times New Roman"/>
          <w:szCs w:val="21"/>
        </w:rPr>
        <w:t>19.0%</w:t>
      </w:r>
      <w:r w:rsidRPr="00D62D5D">
        <w:rPr>
          <w:rFonts w:ascii="Times New Roman" w:hint="eastAsia"/>
          <w:szCs w:val="21"/>
        </w:rPr>
        <w:t>、</w:t>
      </w:r>
      <w:r w:rsidRPr="00D62D5D">
        <w:rPr>
          <w:rFonts w:ascii="Times New Roman" w:hAnsi="Times New Roman"/>
          <w:szCs w:val="21"/>
        </w:rPr>
        <w:t>13.5%</w:t>
      </w:r>
      <w:r w:rsidRPr="00D62D5D">
        <w:rPr>
          <w:rFonts w:ascii="Times New Roman" w:hint="eastAsia"/>
          <w:szCs w:val="21"/>
        </w:rPr>
        <w:t>、</w:t>
      </w:r>
      <w:r w:rsidRPr="00D62D5D">
        <w:rPr>
          <w:rFonts w:ascii="Times New Roman" w:hAnsi="Times New Roman"/>
          <w:szCs w:val="21"/>
        </w:rPr>
        <w:t>8.2%</w:t>
      </w:r>
      <w:r w:rsidRPr="00D62D5D">
        <w:rPr>
          <w:rFonts w:ascii="Times New Roman" w:hint="eastAsia"/>
          <w:szCs w:val="21"/>
        </w:rPr>
        <w:t>、</w:t>
      </w:r>
      <w:r w:rsidRPr="00D62D5D">
        <w:rPr>
          <w:rFonts w:ascii="Times New Roman" w:hAnsi="Times New Roman"/>
          <w:szCs w:val="21"/>
        </w:rPr>
        <w:t>6.8%</w:t>
      </w:r>
      <w:r w:rsidRPr="00D62D5D">
        <w:rPr>
          <w:rFonts w:ascii="Times New Roman" w:hint="eastAsia"/>
          <w:szCs w:val="21"/>
        </w:rPr>
        <w:t>；制造业比重与去年相比有显著增长，占</w:t>
      </w:r>
      <w:r w:rsidRPr="00D62D5D">
        <w:rPr>
          <w:rFonts w:ascii="Times New Roman" w:hAnsi="Times New Roman"/>
          <w:szCs w:val="21"/>
        </w:rPr>
        <w:t>5.5%</w:t>
      </w:r>
      <w:r w:rsidRPr="00D62D5D">
        <w:rPr>
          <w:rFonts w:ascii="Times New Roman" w:hint="eastAsia"/>
          <w:szCs w:val="21"/>
        </w:rPr>
        <w:t>，通讯、房地产也呈现比重上升趋势，均占总体市场的</w:t>
      </w:r>
      <w:r w:rsidRPr="00D62D5D">
        <w:rPr>
          <w:rFonts w:ascii="Times New Roman" w:hAnsi="Times New Roman"/>
          <w:szCs w:val="21"/>
        </w:rPr>
        <w:t>5.4%</w:t>
      </w:r>
      <w:r w:rsidRPr="00D62D5D">
        <w:rPr>
          <w:rFonts w:ascii="Times New Roman" w:hint="eastAsia"/>
          <w:szCs w:val="21"/>
        </w:rPr>
        <w:t>；政府及非盈利机构依然保持不断增长的态势，占</w:t>
      </w:r>
      <w:r w:rsidRPr="00D62D5D">
        <w:rPr>
          <w:rFonts w:ascii="Times New Roman" w:hAnsi="Times New Roman"/>
          <w:szCs w:val="21"/>
        </w:rPr>
        <w:t>4.0%</w:t>
      </w:r>
      <w:r w:rsidRPr="00D62D5D">
        <w:rPr>
          <w:rFonts w:ascii="Times New Roman" w:hint="eastAsia"/>
          <w:szCs w:val="21"/>
        </w:rPr>
        <w:t>；医疗保健较</w:t>
      </w:r>
      <w:r w:rsidRPr="00D62D5D">
        <w:rPr>
          <w:rFonts w:ascii="Times New Roman" w:hAnsi="Times New Roman"/>
          <w:szCs w:val="21"/>
        </w:rPr>
        <w:t>2011</w:t>
      </w:r>
      <w:r w:rsidRPr="00D62D5D">
        <w:rPr>
          <w:rFonts w:ascii="Times New Roman" w:hint="eastAsia"/>
          <w:szCs w:val="21"/>
        </w:rPr>
        <w:t>年度有明显下降，占</w:t>
      </w:r>
      <w:r w:rsidRPr="00D62D5D">
        <w:rPr>
          <w:rFonts w:ascii="Times New Roman" w:hAnsi="Times New Roman"/>
          <w:szCs w:val="21"/>
        </w:rPr>
        <w:t>2.6%</w:t>
      </w:r>
      <w:r w:rsidRPr="00D62D5D">
        <w:rPr>
          <w:rFonts w:ascii="Times New Roman" w:hint="eastAsia"/>
          <w:szCs w:val="21"/>
        </w:rPr>
        <w:t>；其他诸如旅游、能源、文化、体育、公用事业、城市营销等其他市场共占</w:t>
      </w:r>
      <w:r w:rsidRPr="00D62D5D">
        <w:rPr>
          <w:rFonts w:ascii="Times New Roman" w:hAnsi="Times New Roman"/>
          <w:szCs w:val="21"/>
        </w:rPr>
        <w:t>26.6%</w:t>
      </w:r>
      <w:r w:rsidRPr="00D62D5D">
        <w:rPr>
          <w:rFonts w:ascii="Times New Roman" w:hint="eastAsia"/>
          <w:szCs w:val="21"/>
        </w:rPr>
        <w:t>。由此可以看出，</w:t>
      </w:r>
      <w:r w:rsidRPr="00D62D5D">
        <w:rPr>
          <w:rFonts w:ascii="Times New Roman" w:hAnsi="Times New Roman"/>
          <w:szCs w:val="21"/>
        </w:rPr>
        <w:t>2012</w:t>
      </w:r>
      <w:r w:rsidRPr="00D62D5D">
        <w:rPr>
          <w:rFonts w:ascii="Times New Roman" w:hint="eastAsia"/>
          <w:szCs w:val="21"/>
        </w:rPr>
        <w:t>年度</w:t>
      </w:r>
      <w:r>
        <w:rPr>
          <w:rFonts w:ascii="Times New Roman" w:hint="eastAsia"/>
          <w:szCs w:val="21"/>
        </w:rPr>
        <w:t>中国</w:t>
      </w:r>
      <w:r w:rsidRPr="00D62D5D">
        <w:rPr>
          <w:rFonts w:ascii="Times New Roman" w:hint="eastAsia"/>
          <w:szCs w:val="21"/>
        </w:rPr>
        <w:t>公共关系服务市场不再过度倚重汽车行业，服务范围越来越广，呈现</w:t>
      </w:r>
      <w:r>
        <w:rPr>
          <w:rFonts w:ascii="Times New Roman" w:hint="eastAsia"/>
          <w:szCs w:val="21"/>
        </w:rPr>
        <w:t>出行业进一步扩散的趋势，这也</w:t>
      </w:r>
      <w:r w:rsidRPr="00D62D5D">
        <w:rPr>
          <w:rFonts w:ascii="Times New Roman" w:hint="eastAsia"/>
          <w:szCs w:val="21"/>
        </w:rPr>
        <w:t>是未来公共关系行业发展的一个重要标志。</w:t>
      </w:r>
    </w:p>
    <w:tbl>
      <w:tblPr>
        <w:tblW w:w="0" w:type="auto"/>
        <w:tblBorders>
          <w:top w:val="single" w:sz="18" w:space="0" w:color="auto"/>
          <w:bottom w:val="single" w:sz="18" w:space="0" w:color="auto"/>
        </w:tblBorders>
        <w:tblLook w:val="00A0"/>
      </w:tblPr>
      <w:tblGrid>
        <w:gridCol w:w="2840"/>
        <w:gridCol w:w="2841"/>
        <w:gridCol w:w="2841"/>
      </w:tblGrid>
      <w:tr w:rsidR="007C06C0" w:rsidRPr="00743B68" w:rsidTr="00EF67FC">
        <w:tc>
          <w:tcPr>
            <w:tcW w:w="2840" w:type="dxa"/>
            <w:tcBorders>
              <w:top w:val="single" w:sz="18" w:space="0" w:color="auto"/>
              <w:left w:val="nil"/>
              <w:bottom w:val="single" w:sz="18" w:space="0" w:color="auto"/>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Times New Roman" w:hint="eastAsia"/>
                <w:b/>
                <w:bCs/>
                <w:color w:val="FFFFFF"/>
                <w:szCs w:val="21"/>
              </w:rPr>
              <w:t>行业市场份额</w:t>
            </w:r>
            <w:r w:rsidRPr="00743B68">
              <w:rPr>
                <w:rFonts w:ascii="黑体" w:eastAsia="黑体" w:hAnsi="黑体" w:hint="eastAsia"/>
                <w:b/>
                <w:bCs/>
                <w:color w:val="FFFFFF"/>
              </w:rPr>
              <w:t xml:space="preserve">　</w:t>
            </w:r>
          </w:p>
        </w:tc>
        <w:tc>
          <w:tcPr>
            <w:tcW w:w="2841" w:type="dxa"/>
            <w:tcBorders>
              <w:top w:val="single" w:sz="18" w:space="0" w:color="auto"/>
              <w:left w:val="nil"/>
              <w:bottom w:val="single" w:sz="18" w:space="0" w:color="auto"/>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b/>
                <w:bCs/>
                <w:color w:val="FFFFFF"/>
              </w:rPr>
              <w:t>2012</w:t>
            </w:r>
            <w:r w:rsidRPr="00743B68">
              <w:rPr>
                <w:rFonts w:ascii="黑体" w:eastAsia="黑体" w:hAnsi="黑体" w:hint="eastAsia"/>
                <w:b/>
                <w:bCs/>
                <w:color w:val="FFFFFF"/>
              </w:rPr>
              <w:t>年</w:t>
            </w:r>
          </w:p>
        </w:tc>
        <w:tc>
          <w:tcPr>
            <w:tcW w:w="2841" w:type="dxa"/>
            <w:tcBorders>
              <w:top w:val="single" w:sz="18" w:space="0" w:color="auto"/>
              <w:left w:val="nil"/>
              <w:bottom w:val="single" w:sz="18" w:space="0" w:color="auto"/>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b/>
                <w:bCs/>
                <w:color w:val="FFFFFF"/>
              </w:rPr>
              <w:t>2011</w:t>
            </w:r>
            <w:r w:rsidRPr="00743B68">
              <w:rPr>
                <w:rFonts w:ascii="黑体" w:eastAsia="黑体" w:hAnsi="黑体" w:hint="eastAsia"/>
                <w:b/>
                <w:bCs/>
                <w:color w:val="FFFFFF"/>
              </w:rPr>
              <w:t>年</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汽车</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19.0%</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32.9%</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proofErr w:type="gramStart"/>
            <w:r w:rsidRPr="00743B68">
              <w:rPr>
                <w:rFonts w:ascii="黑体" w:eastAsia="黑体" w:hAnsi="黑体" w:hint="eastAsia"/>
                <w:b/>
                <w:bCs/>
                <w:color w:val="FFFFFF"/>
              </w:rPr>
              <w:t>快消</w:t>
            </w:r>
            <w:proofErr w:type="gramEnd"/>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13.5%</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11.2%</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b/>
                <w:bCs/>
                <w:color w:val="FFFFFF"/>
              </w:rPr>
              <w:t>IT</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8.2%</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11.9%</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金融</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6.8%</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3.9%</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制造业</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5.5%</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hint="eastAsia"/>
              </w:rPr>
              <w:t xml:space="preserve">　</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通讯</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5.4%</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hint="eastAsia"/>
              </w:rPr>
              <w:t xml:space="preserve">　</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房地产</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5.4%</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hint="eastAsia"/>
              </w:rPr>
              <w:t xml:space="preserve">　</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政府及非盈利机构</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4.0%</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3.2%</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互联网</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3.0%</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3.7%</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医疗保健</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2.6%</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6.9%</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lastRenderedPageBreak/>
              <w:t>旅游</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2.3%</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hint="eastAsia"/>
              </w:rPr>
              <w:t xml:space="preserve">　</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能源</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1.8%</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hint="eastAsia"/>
              </w:rPr>
              <w:t xml:space="preserve">　</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文化</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1.1%</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hint="eastAsia"/>
              </w:rPr>
              <w:t xml:space="preserve">　</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体育</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0.8%</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hint="eastAsia"/>
              </w:rPr>
              <w:t xml:space="preserve">　</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公用事业</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0.2%</w:t>
            </w:r>
          </w:p>
        </w:tc>
        <w:tc>
          <w:tcPr>
            <w:tcW w:w="2841" w:type="dxa"/>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hint="eastAsia"/>
              </w:rPr>
              <w:t xml:space="preserve">　</w:t>
            </w:r>
          </w:p>
        </w:tc>
      </w:tr>
      <w:tr w:rsidR="007C06C0" w:rsidRPr="00743B68" w:rsidTr="00EF67FC">
        <w:tc>
          <w:tcPr>
            <w:tcW w:w="2840" w:type="dxa"/>
            <w:tcBorders>
              <w:left w:val="nil"/>
              <w:bottom w:val="nil"/>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城市营销</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0.3%</w:t>
            </w:r>
          </w:p>
        </w:tc>
        <w:tc>
          <w:tcPr>
            <w:tcW w:w="2841" w:type="dxa"/>
          </w:tcPr>
          <w:p w:rsidR="007C06C0" w:rsidRPr="00743B68" w:rsidRDefault="007C06C0" w:rsidP="003F636E">
            <w:pPr>
              <w:jc w:val="center"/>
              <w:rPr>
                <w:rFonts w:ascii="黑体" w:eastAsia="黑体" w:hAnsi="黑体" w:cs="宋体"/>
                <w:sz w:val="24"/>
                <w:szCs w:val="24"/>
              </w:rPr>
            </w:pPr>
            <w:r w:rsidRPr="00743B68">
              <w:rPr>
                <w:rFonts w:ascii="黑体" w:eastAsia="黑体" w:hAnsi="黑体" w:hint="eastAsia"/>
              </w:rPr>
              <w:t xml:space="preserve">　</w:t>
            </w:r>
          </w:p>
        </w:tc>
      </w:tr>
      <w:tr w:rsidR="007C06C0" w:rsidRPr="00743B68" w:rsidTr="00EF67FC">
        <w:tc>
          <w:tcPr>
            <w:tcW w:w="2840" w:type="dxa"/>
            <w:tcBorders>
              <w:left w:val="nil"/>
              <w:bottom w:val="single" w:sz="18" w:space="0" w:color="auto"/>
              <w:right w:val="nil"/>
            </w:tcBorders>
            <w:shd w:val="clear" w:color="auto" w:fill="C0504D"/>
          </w:tcPr>
          <w:p w:rsidR="007C06C0" w:rsidRPr="00743B68" w:rsidRDefault="007C06C0" w:rsidP="003F636E">
            <w:pPr>
              <w:jc w:val="center"/>
              <w:rPr>
                <w:rFonts w:ascii="黑体" w:eastAsia="黑体" w:hAnsi="黑体" w:cs="宋体"/>
                <w:b/>
                <w:bCs/>
                <w:color w:val="FFFFFF"/>
                <w:sz w:val="24"/>
                <w:szCs w:val="24"/>
              </w:rPr>
            </w:pPr>
            <w:r w:rsidRPr="00743B68">
              <w:rPr>
                <w:rFonts w:ascii="黑体" w:eastAsia="黑体" w:hAnsi="黑体" w:hint="eastAsia"/>
                <w:b/>
                <w:bCs/>
                <w:color w:val="FFFFFF"/>
              </w:rPr>
              <w:t>其他</w:t>
            </w:r>
          </w:p>
        </w:tc>
        <w:tc>
          <w:tcPr>
            <w:tcW w:w="2841" w:type="dxa"/>
            <w:tcBorders>
              <w:bottom w:val="single" w:sz="18" w:space="0" w:color="auto"/>
            </w:tcBorders>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20.1%</w:t>
            </w:r>
          </w:p>
        </w:tc>
        <w:tc>
          <w:tcPr>
            <w:tcW w:w="2841" w:type="dxa"/>
            <w:tcBorders>
              <w:bottom w:val="single" w:sz="18" w:space="0" w:color="auto"/>
            </w:tcBorders>
            <w:shd w:val="clear" w:color="auto" w:fill="D8D8D8"/>
          </w:tcPr>
          <w:p w:rsidR="007C06C0" w:rsidRPr="00743B68" w:rsidRDefault="007C06C0" w:rsidP="003F636E">
            <w:pPr>
              <w:jc w:val="center"/>
              <w:rPr>
                <w:rFonts w:ascii="黑体" w:eastAsia="黑体" w:hAnsi="黑体" w:cs="宋体"/>
                <w:sz w:val="24"/>
                <w:szCs w:val="24"/>
              </w:rPr>
            </w:pPr>
            <w:r w:rsidRPr="00743B68">
              <w:rPr>
                <w:rFonts w:ascii="黑体" w:eastAsia="黑体" w:hAnsi="黑体"/>
              </w:rPr>
              <w:t>26.3%</w:t>
            </w:r>
          </w:p>
        </w:tc>
      </w:tr>
    </w:tbl>
    <w:p w:rsidR="007C06C0" w:rsidRPr="00E85B1A" w:rsidRDefault="007C06C0" w:rsidP="003F636E">
      <w:pPr>
        <w:jc w:val="center"/>
        <w:rPr>
          <w:rFonts w:ascii="黑体" w:eastAsia="黑体" w:hAnsi="黑体"/>
          <w:szCs w:val="21"/>
        </w:rPr>
      </w:pPr>
      <w:r w:rsidRPr="00E85B1A">
        <w:rPr>
          <w:rFonts w:ascii="黑体" w:eastAsia="黑体" w:hAnsi="黑体" w:hint="eastAsia"/>
          <w:szCs w:val="21"/>
        </w:rPr>
        <w:t>图</w:t>
      </w:r>
      <w:r w:rsidRPr="00E85B1A">
        <w:rPr>
          <w:rFonts w:ascii="黑体" w:eastAsia="黑体" w:hAnsi="黑体"/>
          <w:szCs w:val="21"/>
        </w:rPr>
        <w:t xml:space="preserve">2  </w:t>
      </w:r>
      <w:bookmarkStart w:id="4" w:name="OLE_LINK3"/>
      <w:bookmarkStart w:id="5" w:name="OLE_LINK4"/>
      <w:r w:rsidRPr="00E85B1A">
        <w:rPr>
          <w:rFonts w:ascii="黑体" w:eastAsia="黑体" w:hAnsi="黑体"/>
          <w:szCs w:val="21"/>
        </w:rPr>
        <w:t>2011</w:t>
      </w:r>
      <w:r w:rsidRPr="00E85B1A">
        <w:rPr>
          <w:rFonts w:ascii="黑体" w:eastAsia="黑体" w:hAnsi="黑体" w:hint="eastAsia"/>
          <w:szCs w:val="21"/>
        </w:rPr>
        <w:t>及</w:t>
      </w:r>
      <w:r w:rsidRPr="00E85B1A">
        <w:rPr>
          <w:rFonts w:ascii="黑体" w:eastAsia="黑体" w:hAnsi="黑体"/>
          <w:szCs w:val="21"/>
        </w:rPr>
        <w:t>2012</w:t>
      </w:r>
      <w:r w:rsidRPr="00E85B1A">
        <w:rPr>
          <w:rFonts w:ascii="黑体" w:eastAsia="黑体" w:hAnsi="黑体" w:hint="eastAsia"/>
          <w:szCs w:val="21"/>
        </w:rPr>
        <w:t>行业市场份额对比</w:t>
      </w:r>
      <w:bookmarkEnd w:id="4"/>
      <w:bookmarkEnd w:id="5"/>
    </w:p>
    <w:p w:rsidR="007C06C0" w:rsidRDefault="007C06C0" w:rsidP="003F636E">
      <w:pPr>
        <w:jc w:val="center"/>
        <w:rPr>
          <w:rFonts w:ascii="Times New Roman" w:hAnsi="Times New Roman"/>
          <w:szCs w:val="21"/>
        </w:rPr>
      </w:pPr>
    </w:p>
    <w:p w:rsidR="007C06C0" w:rsidRDefault="007C06C0" w:rsidP="003F636E">
      <w:pPr>
        <w:jc w:val="center"/>
        <w:rPr>
          <w:rFonts w:ascii="Times New Roman" w:hAnsi="Times New Roman"/>
          <w:szCs w:val="21"/>
        </w:rPr>
      </w:pPr>
    </w:p>
    <w:p w:rsidR="007C06C0" w:rsidRDefault="007C06C0" w:rsidP="003F636E">
      <w:pPr>
        <w:jc w:val="center"/>
        <w:rPr>
          <w:rFonts w:ascii="Times New Roman" w:hAnsi="Times New Roman"/>
          <w:szCs w:val="21"/>
        </w:rPr>
      </w:pPr>
    </w:p>
    <w:p w:rsidR="007C06C0" w:rsidRPr="00D62D5D" w:rsidRDefault="00EF67FC" w:rsidP="003F636E">
      <w:pPr>
        <w:rPr>
          <w:rFonts w:ascii="Times New Roman" w:hAnsi="Times New Roman"/>
          <w:szCs w:val="21"/>
        </w:rPr>
      </w:pPr>
      <w:r>
        <w:rPr>
          <w:rFonts w:ascii="Times New Roman" w:hAnsi="Times New Roman"/>
          <w:noProof/>
          <w:szCs w:val="21"/>
        </w:rPr>
        <w:drawing>
          <wp:inline distT="0" distB="0" distL="0" distR="0">
            <wp:extent cx="5267325" cy="3343275"/>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06C0" w:rsidRPr="00E85B1A" w:rsidRDefault="007C06C0" w:rsidP="003F636E">
      <w:pPr>
        <w:jc w:val="center"/>
        <w:rPr>
          <w:rFonts w:ascii="黑体" w:eastAsia="黑体" w:hAnsi="黑体"/>
          <w:szCs w:val="21"/>
        </w:rPr>
      </w:pPr>
      <w:r w:rsidRPr="00E85B1A">
        <w:rPr>
          <w:rFonts w:ascii="黑体" w:eastAsia="黑体" w:hAnsi="黑体" w:hint="eastAsia"/>
          <w:szCs w:val="21"/>
        </w:rPr>
        <w:t>图</w:t>
      </w:r>
      <w:r w:rsidRPr="00E85B1A">
        <w:rPr>
          <w:rFonts w:ascii="黑体" w:eastAsia="黑体" w:hAnsi="黑体"/>
          <w:szCs w:val="21"/>
        </w:rPr>
        <w:t>3 2012</w:t>
      </w:r>
      <w:r w:rsidRPr="00E85B1A">
        <w:rPr>
          <w:rFonts w:ascii="黑体" w:eastAsia="黑体" w:hAnsi="黑体" w:hint="eastAsia"/>
          <w:szCs w:val="21"/>
        </w:rPr>
        <w:t>年度行业市场份额构成</w:t>
      </w: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886838">
      <w:pPr>
        <w:spacing w:beforeLines="50" w:afterLines="50" w:line="276" w:lineRule="auto"/>
        <w:ind w:firstLineChars="200" w:firstLine="420"/>
        <w:jc w:val="left"/>
        <w:rPr>
          <w:rFonts w:ascii="宋体"/>
          <w:i/>
        </w:rPr>
      </w:pPr>
      <w:r w:rsidRPr="008F2E1B">
        <w:rPr>
          <w:rFonts w:ascii="宋体" w:hAnsi="宋体" w:hint="eastAsia"/>
          <w:i/>
        </w:rPr>
        <w:lastRenderedPageBreak/>
        <w:t>鉴于</w:t>
      </w:r>
      <w:r w:rsidRPr="008F2E1B">
        <w:rPr>
          <w:rFonts w:ascii="宋体" w:hAnsi="宋体"/>
          <w:i/>
        </w:rPr>
        <w:t>TOP</w:t>
      </w:r>
      <w:r>
        <w:rPr>
          <w:rFonts w:ascii="宋体" w:hAnsi="宋体"/>
          <w:i/>
        </w:rPr>
        <w:t>25</w:t>
      </w:r>
      <w:r w:rsidRPr="008F2E1B">
        <w:rPr>
          <w:rFonts w:ascii="宋体" w:hAnsi="宋体" w:hint="eastAsia"/>
          <w:i/>
        </w:rPr>
        <w:t>和</w:t>
      </w:r>
      <w:r>
        <w:rPr>
          <w:rFonts w:ascii="宋体" w:hAnsi="宋体"/>
          <w:i/>
        </w:rPr>
        <w:t>10</w:t>
      </w:r>
      <w:r>
        <w:rPr>
          <w:rFonts w:ascii="宋体" w:hAnsi="宋体" w:hint="eastAsia"/>
          <w:i/>
        </w:rPr>
        <w:t>家最具成长性</w:t>
      </w:r>
      <w:r w:rsidRPr="008F2E1B">
        <w:rPr>
          <w:rFonts w:ascii="宋体" w:hAnsi="宋体" w:hint="eastAsia"/>
          <w:i/>
        </w:rPr>
        <w:t>公司数据的相对准确性，我们依据这</w:t>
      </w:r>
      <w:r>
        <w:rPr>
          <w:rFonts w:ascii="宋体" w:hAnsi="宋体"/>
          <w:i/>
        </w:rPr>
        <w:t>35</w:t>
      </w:r>
      <w:r w:rsidRPr="008F2E1B">
        <w:rPr>
          <w:rFonts w:ascii="宋体" w:hAnsi="宋体" w:hint="eastAsia"/>
          <w:i/>
        </w:rPr>
        <w:t>家公司数据从业务领域、业务类型、业务潜力和区域市场等方面加以统计分析。</w:t>
      </w:r>
    </w:p>
    <w:p w:rsidR="007C06C0" w:rsidRPr="00B5759B" w:rsidRDefault="007C06C0" w:rsidP="003F636E">
      <w:pPr>
        <w:spacing w:line="276" w:lineRule="auto"/>
        <w:ind w:firstLineChars="200" w:firstLine="420"/>
        <w:rPr>
          <w:rFonts w:ascii="Times New Roman" w:hAnsi="Times New Roman"/>
          <w:szCs w:val="21"/>
        </w:rPr>
      </w:pPr>
      <w:r w:rsidRPr="00B5759B">
        <w:rPr>
          <w:rFonts w:ascii="Times New Roman" w:hAnsi="Times New Roman"/>
          <w:szCs w:val="21"/>
        </w:rPr>
        <w:t>35</w:t>
      </w:r>
      <w:r w:rsidRPr="00B5759B">
        <w:rPr>
          <w:rFonts w:ascii="Times New Roman" w:hAnsi="Times New Roman" w:hint="eastAsia"/>
          <w:szCs w:val="21"/>
        </w:rPr>
        <w:t>家公司中，</w:t>
      </w:r>
      <w:r>
        <w:rPr>
          <w:rFonts w:ascii="Times New Roman" w:hAnsi="Times New Roman"/>
          <w:szCs w:val="21"/>
        </w:rPr>
        <w:t>22</w:t>
      </w:r>
      <w:r w:rsidRPr="00B5759B">
        <w:rPr>
          <w:rFonts w:ascii="Times New Roman" w:hAnsi="Times New Roman" w:hint="eastAsia"/>
          <w:szCs w:val="21"/>
        </w:rPr>
        <w:t>家开展汽车业务（</w:t>
      </w:r>
      <w:r>
        <w:rPr>
          <w:rFonts w:ascii="Times New Roman" w:hAnsi="Times New Roman"/>
          <w:szCs w:val="21"/>
        </w:rPr>
        <w:t>63</w:t>
      </w:r>
      <w:r w:rsidRPr="00B5759B">
        <w:rPr>
          <w:rFonts w:ascii="Times New Roman" w:hAnsi="Times New Roman"/>
          <w:szCs w:val="21"/>
        </w:rPr>
        <w:t>%</w:t>
      </w:r>
      <w:r w:rsidRPr="00B5759B">
        <w:rPr>
          <w:rFonts w:ascii="Times New Roman" w:hAnsi="Times New Roman" w:hint="eastAsia"/>
          <w:szCs w:val="21"/>
        </w:rPr>
        <w:t>），</w:t>
      </w:r>
      <w:r w:rsidRPr="00B5759B">
        <w:rPr>
          <w:rFonts w:ascii="Times New Roman" w:hAnsi="Times New Roman"/>
          <w:szCs w:val="21"/>
        </w:rPr>
        <w:t>2</w:t>
      </w:r>
      <w:r>
        <w:rPr>
          <w:rFonts w:ascii="Times New Roman" w:hAnsi="Times New Roman"/>
          <w:szCs w:val="21"/>
        </w:rPr>
        <w:t>4</w:t>
      </w:r>
      <w:r w:rsidRPr="00B5759B">
        <w:rPr>
          <w:rFonts w:ascii="Times New Roman" w:hAnsi="Times New Roman" w:hint="eastAsia"/>
          <w:szCs w:val="21"/>
        </w:rPr>
        <w:t>家</w:t>
      </w:r>
      <w:proofErr w:type="gramStart"/>
      <w:r w:rsidRPr="00B5759B">
        <w:rPr>
          <w:rFonts w:ascii="Times New Roman" w:hAnsi="Times New Roman" w:hint="eastAsia"/>
          <w:szCs w:val="21"/>
        </w:rPr>
        <w:t>开展快消业务</w:t>
      </w:r>
      <w:proofErr w:type="gramEnd"/>
      <w:r w:rsidRPr="00B5759B">
        <w:rPr>
          <w:rFonts w:ascii="Times New Roman" w:hAnsi="Times New Roman" w:hint="eastAsia"/>
          <w:szCs w:val="21"/>
        </w:rPr>
        <w:t>（</w:t>
      </w:r>
      <w:r>
        <w:rPr>
          <w:rFonts w:ascii="Times New Roman" w:hAnsi="Times New Roman"/>
          <w:szCs w:val="21"/>
        </w:rPr>
        <w:t>69</w:t>
      </w:r>
      <w:r w:rsidRPr="00B5759B">
        <w:rPr>
          <w:rFonts w:ascii="Times New Roman" w:hAnsi="Times New Roman"/>
          <w:szCs w:val="21"/>
        </w:rPr>
        <w:t>%</w:t>
      </w:r>
      <w:r w:rsidRPr="00B5759B">
        <w:rPr>
          <w:rFonts w:ascii="Times New Roman" w:hAnsi="Times New Roman" w:hint="eastAsia"/>
          <w:szCs w:val="21"/>
        </w:rPr>
        <w:t>），</w:t>
      </w:r>
      <w:r w:rsidRPr="00B5759B">
        <w:rPr>
          <w:rFonts w:ascii="Times New Roman" w:hAnsi="Times New Roman"/>
          <w:szCs w:val="21"/>
        </w:rPr>
        <w:t>1</w:t>
      </w:r>
      <w:r>
        <w:rPr>
          <w:rFonts w:ascii="Times New Roman" w:hAnsi="Times New Roman"/>
          <w:szCs w:val="21"/>
        </w:rPr>
        <w:t>4</w:t>
      </w:r>
      <w:r w:rsidRPr="00B5759B">
        <w:rPr>
          <w:rFonts w:ascii="Times New Roman" w:hAnsi="Times New Roman" w:hint="eastAsia"/>
          <w:szCs w:val="21"/>
        </w:rPr>
        <w:t>家开展</w:t>
      </w:r>
      <w:r w:rsidRPr="00B5759B">
        <w:rPr>
          <w:rFonts w:ascii="Times New Roman" w:hAnsi="Times New Roman"/>
          <w:szCs w:val="21"/>
        </w:rPr>
        <w:t>IT</w:t>
      </w:r>
      <w:r w:rsidRPr="00B5759B">
        <w:rPr>
          <w:rFonts w:ascii="Times New Roman" w:hAnsi="Times New Roman" w:hint="eastAsia"/>
          <w:szCs w:val="21"/>
        </w:rPr>
        <w:t>业务（</w:t>
      </w:r>
      <w:r>
        <w:rPr>
          <w:rFonts w:ascii="Times New Roman" w:hAnsi="Times New Roman"/>
          <w:szCs w:val="21"/>
        </w:rPr>
        <w:t>40</w:t>
      </w:r>
      <w:r w:rsidRPr="00B5759B">
        <w:rPr>
          <w:rFonts w:ascii="Times New Roman" w:hAnsi="Times New Roman"/>
          <w:szCs w:val="21"/>
        </w:rPr>
        <w:t>%</w:t>
      </w:r>
      <w:r w:rsidRPr="00B5759B">
        <w:rPr>
          <w:rFonts w:ascii="Times New Roman" w:hAnsi="Times New Roman" w:hint="eastAsia"/>
          <w:szCs w:val="21"/>
        </w:rPr>
        <w:t>），</w:t>
      </w:r>
      <w:r w:rsidRPr="00B5759B">
        <w:rPr>
          <w:rFonts w:ascii="Times New Roman" w:hAnsi="Times New Roman"/>
          <w:szCs w:val="21"/>
        </w:rPr>
        <w:t>1</w:t>
      </w:r>
      <w:r>
        <w:rPr>
          <w:rFonts w:ascii="Times New Roman" w:hAnsi="Times New Roman"/>
          <w:szCs w:val="21"/>
        </w:rPr>
        <w:t>1</w:t>
      </w:r>
      <w:r w:rsidRPr="00B5759B">
        <w:rPr>
          <w:rFonts w:ascii="Times New Roman" w:hAnsi="Times New Roman" w:hint="eastAsia"/>
          <w:szCs w:val="21"/>
        </w:rPr>
        <w:t>家开展金融业务（</w:t>
      </w:r>
      <w:r>
        <w:rPr>
          <w:rFonts w:ascii="Times New Roman" w:hAnsi="Times New Roman"/>
          <w:szCs w:val="21"/>
        </w:rPr>
        <w:t>31</w:t>
      </w:r>
      <w:r w:rsidRPr="00B5759B">
        <w:rPr>
          <w:rFonts w:ascii="Times New Roman" w:hAnsi="Times New Roman"/>
          <w:szCs w:val="21"/>
        </w:rPr>
        <w:t>%</w:t>
      </w:r>
      <w:r w:rsidRPr="00B5759B">
        <w:rPr>
          <w:rFonts w:ascii="Times New Roman" w:hAnsi="Times New Roman" w:hint="eastAsia"/>
          <w:szCs w:val="21"/>
        </w:rPr>
        <w:t>），</w:t>
      </w:r>
      <w:r w:rsidRPr="00B5759B">
        <w:rPr>
          <w:rFonts w:ascii="Times New Roman" w:hAnsi="Times New Roman"/>
          <w:szCs w:val="21"/>
        </w:rPr>
        <w:t>1</w:t>
      </w:r>
      <w:r>
        <w:rPr>
          <w:rFonts w:ascii="Times New Roman" w:hAnsi="Times New Roman"/>
          <w:szCs w:val="21"/>
        </w:rPr>
        <w:t>2</w:t>
      </w:r>
      <w:r w:rsidRPr="00B5759B">
        <w:rPr>
          <w:rFonts w:ascii="Times New Roman" w:hAnsi="Times New Roman" w:hint="eastAsia"/>
          <w:szCs w:val="21"/>
        </w:rPr>
        <w:t>家开展制造业业务</w:t>
      </w:r>
      <w:r w:rsidRPr="00B5759B">
        <w:rPr>
          <w:rFonts w:ascii="Times New Roman" w:hAnsi="Times New Roman"/>
          <w:szCs w:val="21"/>
        </w:rPr>
        <w:t>(</w:t>
      </w:r>
      <w:r>
        <w:rPr>
          <w:rFonts w:ascii="Times New Roman" w:hAnsi="Times New Roman"/>
          <w:szCs w:val="21"/>
        </w:rPr>
        <w:t>34</w:t>
      </w:r>
      <w:r w:rsidRPr="00B5759B">
        <w:rPr>
          <w:rFonts w:ascii="Times New Roman" w:hAnsi="Times New Roman"/>
          <w:szCs w:val="21"/>
        </w:rPr>
        <w:t>%)</w:t>
      </w:r>
      <w:r w:rsidRPr="00B5759B">
        <w:rPr>
          <w:rFonts w:ascii="Times New Roman" w:hAnsi="Times New Roman" w:hint="eastAsia"/>
          <w:szCs w:val="21"/>
        </w:rPr>
        <w:t>，</w:t>
      </w:r>
      <w:r w:rsidRPr="00B5759B">
        <w:rPr>
          <w:rFonts w:ascii="Times New Roman" w:hAnsi="Times New Roman"/>
          <w:szCs w:val="21"/>
        </w:rPr>
        <w:t>9</w:t>
      </w:r>
      <w:r w:rsidRPr="00B5759B">
        <w:rPr>
          <w:rFonts w:ascii="Times New Roman" w:hAnsi="Times New Roman" w:hint="eastAsia"/>
          <w:szCs w:val="21"/>
        </w:rPr>
        <w:t>家开展通讯业务</w:t>
      </w:r>
      <w:r w:rsidRPr="00B5759B">
        <w:rPr>
          <w:rFonts w:ascii="Times New Roman" w:hAnsi="Times New Roman"/>
          <w:szCs w:val="21"/>
        </w:rPr>
        <w:t>(26%)</w:t>
      </w:r>
      <w:r w:rsidRPr="00B5759B">
        <w:rPr>
          <w:rFonts w:ascii="Times New Roman" w:hAnsi="Times New Roman" w:hint="eastAsia"/>
          <w:szCs w:val="21"/>
        </w:rPr>
        <w:t>，</w:t>
      </w:r>
      <w:r w:rsidRPr="00B5759B">
        <w:rPr>
          <w:rFonts w:ascii="Times New Roman" w:hAnsi="Times New Roman"/>
          <w:szCs w:val="21"/>
        </w:rPr>
        <w:t>8</w:t>
      </w:r>
      <w:r w:rsidRPr="00B5759B">
        <w:rPr>
          <w:rFonts w:ascii="Times New Roman" w:hAnsi="Times New Roman" w:hint="eastAsia"/>
          <w:szCs w:val="21"/>
        </w:rPr>
        <w:t>家开展房地产业</w:t>
      </w:r>
      <w:proofErr w:type="gramStart"/>
      <w:r w:rsidRPr="00B5759B">
        <w:rPr>
          <w:rFonts w:ascii="Times New Roman" w:hAnsi="Times New Roman" w:hint="eastAsia"/>
          <w:szCs w:val="21"/>
        </w:rPr>
        <w:t>务</w:t>
      </w:r>
      <w:proofErr w:type="gramEnd"/>
      <w:r w:rsidRPr="00B5759B">
        <w:rPr>
          <w:rFonts w:ascii="Times New Roman" w:hAnsi="Times New Roman"/>
          <w:szCs w:val="21"/>
        </w:rPr>
        <w:t>(23%)</w:t>
      </w:r>
      <w:r w:rsidRPr="00B5759B">
        <w:rPr>
          <w:rFonts w:ascii="Times New Roman" w:hAnsi="Times New Roman" w:hint="eastAsia"/>
          <w:szCs w:val="21"/>
        </w:rPr>
        <w:t>，</w:t>
      </w:r>
      <w:r w:rsidRPr="00B5759B">
        <w:rPr>
          <w:rFonts w:ascii="Times New Roman" w:hAnsi="Times New Roman"/>
          <w:szCs w:val="21"/>
        </w:rPr>
        <w:t>6</w:t>
      </w:r>
      <w:r w:rsidRPr="00B5759B">
        <w:rPr>
          <w:rFonts w:ascii="Times New Roman" w:hAnsi="Times New Roman" w:hint="eastAsia"/>
          <w:szCs w:val="21"/>
        </w:rPr>
        <w:t>家开展政府及非盈利机构业务</w:t>
      </w:r>
      <w:r w:rsidRPr="00B5759B">
        <w:rPr>
          <w:rFonts w:ascii="Times New Roman" w:hAnsi="Times New Roman"/>
          <w:szCs w:val="21"/>
        </w:rPr>
        <w:t>(17%)</w:t>
      </w:r>
      <w:r w:rsidRPr="00B5759B">
        <w:rPr>
          <w:rFonts w:ascii="Times New Roman" w:hAnsi="Times New Roman" w:hint="eastAsia"/>
          <w:szCs w:val="21"/>
        </w:rPr>
        <w:t>。</w:t>
      </w:r>
    </w:p>
    <w:p w:rsidR="007C06C0" w:rsidRPr="00B5759B" w:rsidRDefault="007C06C0" w:rsidP="00886838">
      <w:pPr>
        <w:spacing w:beforeLines="50" w:afterLines="50" w:line="276" w:lineRule="auto"/>
        <w:ind w:firstLine="420"/>
        <w:rPr>
          <w:rFonts w:ascii="Times New Roman" w:hAnsi="Times New Roman"/>
          <w:szCs w:val="21"/>
        </w:rPr>
      </w:pPr>
      <w:bookmarkStart w:id="6" w:name="OLE_LINK5"/>
      <w:bookmarkStart w:id="7" w:name="OLE_LINK6"/>
      <w:r w:rsidRPr="00B5759B">
        <w:rPr>
          <w:rFonts w:ascii="Times New Roman" w:hAnsi="Times New Roman"/>
          <w:szCs w:val="21"/>
        </w:rPr>
        <w:t>35</w:t>
      </w:r>
      <w:r w:rsidRPr="00B5759B">
        <w:rPr>
          <w:rFonts w:ascii="Times New Roman" w:hAnsi="Times New Roman" w:hint="eastAsia"/>
          <w:szCs w:val="21"/>
        </w:rPr>
        <w:t>家公司中，</w:t>
      </w:r>
      <w:r w:rsidRPr="00B5759B">
        <w:rPr>
          <w:rFonts w:ascii="Times New Roman" w:hAnsi="Times New Roman"/>
          <w:szCs w:val="21"/>
        </w:rPr>
        <w:t>1</w:t>
      </w:r>
      <w:r>
        <w:rPr>
          <w:rFonts w:ascii="Times New Roman" w:hAnsi="Times New Roman"/>
          <w:szCs w:val="21"/>
        </w:rPr>
        <w:t>3</w:t>
      </w:r>
      <w:r w:rsidRPr="00B5759B">
        <w:rPr>
          <w:rFonts w:ascii="Times New Roman" w:hAnsi="Times New Roman" w:hint="eastAsia"/>
          <w:szCs w:val="21"/>
        </w:rPr>
        <w:t>家（</w:t>
      </w:r>
      <w:r>
        <w:rPr>
          <w:rFonts w:ascii="Times New Roman" w:hAnsi="Times New Roman"/>
          <w:szCs w:val="21"/>
        </w:rPr>
        <w:t>37</w:t>
      </w:r>
      <w:r w:rsidRPr="00B5759B">
        <w:rPr>
          <w:rFonts w:ascii="Times New Roman" w:hAnsi="Times New Roman"/>
          <w:szCs w:val="21"/>
        </w:rPr>
        <w:t>%</w:t>
      </w:r>
      <w:r w:rsidRPr="00B5759B">
        <w:rPr>
          <w:rFonts w:ascii="Times New Roman" w:hAnsi="Times New Roman" w:hint="eastAsia"/>
          <w:szCs w:val="21"/>
        </w:rPr>
        <w:t>）以传播代理和执行为主，</w:t>
      </w:r>
      <w:r w:rsidRPr="00B5759B">
        <w:rPr>
          <w:rFonts w:ascii="Times New Roman" w:hAnsi="Times New Roman"/>
          <w:szCs w:val="21"/>
        </w:rPr>
        <w:t>8</w:t>
      </w:r>
      <w:r w:rsidRPr="00B5759B">
        <w:rPr>
          <w:rFonts w:ascii="Times New Roman" w:hAnsi="Times New Roman" w:hint="eastAsia"/>
          <w:szCs w:val="21"/>
        </w:rPr>
        <w:t>家（</w:t>
      </w:r>
      <w:r>
        <w:rPr>
          <w:rFonts w:ascii="Times New Roman" w:hAnsi="Times New Roman"/>
          <w:szCs w:val="21"/>
        </w:rPr>
        <w:t>23</w:t>
      </w:r>
      <w:r w:rsidRPr="00B5759B">
        <w:rPr>
          <w:rFonts w:ascii="Times New Roman" w:hAnsi="Times New Roman"/>
          <w:szCs w:val="21"/>
        </w:rPr>
        <w:t>%</w:t>
      </w:r>
      <w:r w:rsidRPr="00B5759B">
        <w:rPr>
          <w:rFonts w:ascii="Times New Roman" w:hAnsi="Times New Roman" w:hint="eastAsia"/>
          <w:szCs w:val="21"/>
        </w:rPr>
        <w:t>）以活动代理和执行为主，</w:t>
      </w:r>
      <w:r w:rsidRPr="00B5759B">
        <w:rPr>
          <w:rFonts w:ascii="Times New Roman" w:hAnsi="Times New Roman"/>
          <w:szCs w:val="21"/>
        </w:rPr>
        <w:t>4</w:t>
      </w:r>
      <w:r w:rsidRPr="00B5759B">
        <w:rPr>
          <w:rFonts w:ascii="Times New Roman" w:hAnsi="Times New Roman" w:hint="eastAsia"/>
          <w:szCs w:val="21"/>
        </w:rPr>
        <w:t>家（</w:t>
      </w:r>
      <w:r>
        <w:rPr>
          <w:rFonts w:ascii="Times New Roman" w:hAnsi="Times New Roman"/>
          <w:szCs w:val="21"/>
        </w:rPr>
        <w:t>11</w:t>
      </w:r>
      <w:r w:rsidRPr="00B5759B">
        <w:rPr>
          <w:rFonts w:ascii="Times New Roman" w:hAnsi="Times New Roman"/>
          <w:szCs w:val="21"/>
        </w:rPr>
        <w:t>%</w:t>
      </w:r>
      <w:r w:rsidRPr="00B5759B">
        <w:rPr>
          <w:rFonts w:ascii="Times New Roman" w:hAnsi="Times New Roman" w:hint="eastAsia"/>
          <w:szCs w:val="21"/>
        </w:rPr>
        <w:t>）以顾问咨询为主，</w:t>
      </w:r>
      <w:r w:rsidRPr="00B5759B">
        <w:rPr>
          <w:rFonts w:ascii="Times New Roman" w:hAnsi="Times New Roman"/>
          <w:szCs w:val="21"/>
        </w:rPr>
        <w:t>4</w:t>
      </w:r>
      <w:r w:rsidRPr="00B5759B">
        <w:rPr>
          <w:rFonts w:ascii="Times New Roman" w:hAnsi="Times New Roman" w:hint="eastAsia"/>
          <w:szCs w:val="21"/>
        </w:rPr>
        <w:t>家（</w:t>
      </w:r>
      <w:r>
        <w:rPr>
          <w:rFonts w:ascii="Times New Roman" w:hAnsi="Times New Roman"/>
          <w:szCs w:val="21"/>
        </w:rPr>
        <w:t>11</w:t>
      </w:r>
      <w:r w:rsidRPr="00B5759B">
        <w:rPr>
          <w:rFonts w:ascii="Times New Roman" w:hAnsi="Times New Roman"/>
          <w:szCs w:val="21"/>
        </w:rPr>
        <w:t>%</w:t>
      </w:r>
      <w:r w:rsidRPr="00B5759B">
        <w:rPr>
          <w:rFonts w:ascii="Times New Roman" w:hAnsi="Times New Roman" w:hint="eastAsia"/>
          <w:szCs w:val="21"/>
        </w:rPr>
        <w:t>）以网络公关为主，</w:t>
      </w:r>
      <w:r w:rsidRPr="00B5759B">
        <w:rPr>
          <w:rFonts w:ascii="Times New Roman" w:hAnsi="Times New Roman"/>
          <w:szCs w:val="21"/>
        </w:rPr>
        <w:t>2</w:t>
      </w:r>
      <w:r w:rsidRPr="00B5759B">
        <w:rPr>
          <w:rFonts w:ascii="Times New Roman" w:hAnsi="Times New Roman" w:hint="eastAsia"/>
          <w:szCs w:val="21"/>
        </w:rPr>
        <w:t>家（</w:t>
      </w:r>
      <w:r>
        <w:rPr>
          <w:rFonts w:ascii="Times New Roman" w:hAnsi="Times New Roman"/>
          <w:szCs w:val="21"/>
        </w:rPr>
        <w:t>6</w:t>
      </w:r>
      <w:r w:rsidRPr="00B5759B">
        <w:rPr>
          <w:rFonts w:ascii="Times New Roman" w:hAnsi="Times New Roman"/>
          <w:szCs w:val="21"/>
        </w:rPr>
        <w:t>%</w:t>
      </w:r>
      <w:r w:rsidRPr="00B5759B">
        <w:rPr>
          <w:rFonts w:ascii="Times New Roman" w:hAnsi="Times New Roman" w:hint="eastAsia"/>
          <w:szCs w:val="21"/>
        </w:rPr>
        <w:t>）以媒体执行为主。</w:t>
      </w:r>
      <w:bookmarkEnd w:id="6"/>
      <w:bookmarkEnd w:id="7"/>
      <w:r w:rsidRPr="00B5759B">
        <w:rPr>
          <w:rFonts w:ascii="Times New Roman" w:hAnsi="Times New Roman" w:hint="eastAsia"/>
          <w:szCs w:val="21"/>
        </w:rPr>
        <w:t>传播代理业务仍是公关公司的主要业务。上述数据表明，传播代理业务仍是公关公司的主要业务，但是活动类公司也占据了约</w:t>
      </w:r>
      <w:r w:rsidRPr="008115D4">
        <w:rPr>
          <w:rFonts w:ascii="Times New Roman" w:hAnsi="Times New Roman"/>
          <w:szCs w:val="21"/>
        </w:rPr>
        <w:t>2</w:t>
      </w:r>
      <w:r>
        <w:rPr>
          <w:rFonts w:ascii="Times New Roman" w:hAnsi="Times New Roman"/>
          <w:szCs w:val="21"/>
        </w:rPr>
        <w:t>3</w:t>
      </w:r>
      <w:r w:rsidRPr="00B5759B">
        <w:rPr>
          <w:rFonts w:ascii="Times New Roman" w:hAnsi="Times New Roman"/>
          <w:szCs w:val="21"/>
        </w:rPr>
        <w:t>%</w:t>
      </w:r>
      <w:r w:rsidRPr="00B5759B">
        <w:rPr>
          <w:rFonts w:ascii="Times New Roman" w:hAnsi="Times New Roman" w:hint="eastAsia"/>
          <w:szCs w:val="21"/>
        </w:rPr>
        <w:t>的市场份额，特别是在地区市场中表现更为明显。</w:t>
      </w:r>
    </w:p>
    <w:p w:rsidR="007C06C0" w:rsidRPr="00B72D51" w:rsidRDefault="007C06C0" w:rsidP="003F636E">
      <w:pPr>
        <w:rPr>
          <w:rFonts w:ascii="Times New Roman" w:hAnsi="Times New Roman"/>
          <w:szCs w:val="21"/>
        </w:rPr>
      </w:pPr>
      <w:r>
        <w:rPr>
          <w:rFonts w:ascii="Times New Roman" w:hAnsi="Times New Roman"/>
          <w:noProof/>
          <w:szCs w:val="21"/>
        </w:rPr>
        <w:drawing>
          <wp:inline distT="0" distB="0" distL="0" distR="0">
            <wp:extent cx="5295900" cy="3086100"/>
            <wp:effectExtent l="0" t="0" r="0" b="0"/>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06C0" w:rsidRPr="00E85B1A" w:rsidRDefault="007C06C0" w:rsidP="003F636E">
      <w:pPr>
        <w:jc w:val="center"/>
        <w:rPr>
          <w:rFonts w:ascii="黑体" w:eastAsia="黑体" w:hAnsi="黑体"/>
          <w:szCs w:val="21"/>
        </w:rPr>
      </w:pPr>
      <w:r w:rsidRPr="00E85B1A">
        <w:rPr>
          <w:rFonts w:ascii="黑体" w:eastAsia="黑体" w:hAnsi="黑体" w:hint="eastAsia"/>
          <w:szCs w:val="21"/>
        </w:rPr>
        <w:t>图</w:t>
      </w:r>
      <w:r w:rsidRPr="00E85B1A">
        <w:rPr>
          <w:rFonts w:ascii="黑体" w:eastAsia="黑体" w:hAnsi="黑体"/>
          <w:szCs w:val="21"/>
        </w:rPr>
        <w:t xml:space="preserve">4 </w:t>
      </w:r>
      <w:r w:rsidRPr="00E85B1A">
        <w:rPr>
          <w:rFonts w:ascii="黑体" w:eastAsia="黑体" w:hAnsi="黑体" w:hint="eastAsia"/>
          <w:szCs w:val="21"/>
        </w:rPr>
        <w:t>业务类型市场构成（公司数）</w:t>
      </w:r>
    </w:p>
    <w:p w:rsidR="007C06C0" w:rsidRPr="00B5759B" w:rsidRDefault="007C06C0" w:rsidP="00886838">
      <w:pPr>
        <w:spacing w:beforeLines="50" w:afterLines="50" w:line="276" w:lineRule="auto"/>
        <w:ind w:firstLine="420"/>
        <w:rPr>
          <w:rFonts w:ascii="Times New Roman" w:hAnsi="Times New Roman"/>
        </w:rPr>
      </w:pPr>
      <w:bookmarkStart w:id="8" w:name="OLE_LINK7"/>
      <w:bookmarkStart w:id="9" w:name="OLE_LINK8"/>
      <w:r w:rsidRPr="00B5759B">
        <w:rPr>
          <w:rFonts w:ascii="Times New Roman" w:hAnsi="Times New Roman"/>
          <w:color w:val="000000"/>
        </w:rPr>
        <w:t>35</w:t>
      </w:r>
      <w:r w:rsidRPr="00B5759B">
        <w:rPr>
          <w:rFonts w:ascii="Times New Roman" w:hAnsi="宋体" w:hint="eastAsia"/>
          <w:color w:val="000000"/>
        </w:rPr>
        <w:t>家公司在新的服务手段应用进展方面</w:t>
      </w:r>
      <w:r w:rsidRPr="00B5759B">
        <w:rPr>
          <w:rFonts w:ascii="Times New Roman" w:hAnsi="宋体" w:hint="eastAsia"/>
        </w:rPr>
        <w:t>，</w:t>
      </w:r>
      <w:r w:rsidRPr="00B5759B">
        <w:rPr>
          <w:rFonts w:ascii="Times New Roman" w:hAnsi="Times New Roman"/>
        </w:rPr>
        <w:t xml:space="preserve"> 2</w:t>
      </w:r>
      <w:r>
        <w:rPr>
          <w:rFonts w:ascii="Times New Roman" w:hAnsi="Times New Roman"/>
        </w:rPr>
        <w:t>4</w:t>
      </w:r>
      <w:r w:rsidRPr="00B5759B">
        <w:rPr>
          <w:rFonts w:ascii="Times New Roman" w:hAnsi="宋体" w:hint="eastAsia"/>
        </w:rPr>
        <w:t>家（</w:t>
      </w:r>
      <w:r>
        <w:rPr>
          <w:rFonts w:ascii="Times New Roman" w:hAnsi="宋体"/>
        </w:rPr>
        <w:t>69%</w:t>
      </w:r>
      <w:r w:rsidRPr="00B5759B">
        <w:rPr>
          <w:rFonts w:ascii="Times New Roman" w:hAnsi="宋体" w:hint="eastAsia"/>
        </w:rPr>
        <w:t>）开展网络公关业务，</w:t>
      </w:r>
      <w:r>
        <w:rPr>
          <w:rFonts w:ascii="Times New Roman" w:hAnsi="Times New Roman"/>
        </w:rPr>
        <w:t>14</w:t>
      </w:r>
      <w:r w:rsidRPr="00B5759B">
        <w:rPr>
          <w:rFonts w:ascii="Times New Roman" w:hAnsi="宋体" w:hint="eastAsia"/>
        </w:rPr>
        <w:t>家（</w:t>
      </w:r>
      <w:r>
        <w:rPr>
          <w:rFonts w:ascii="Times New Roman" w:hAnsi="宋体"/>
        </w:rPr>
        <w:t>40%</w:t>
      </w:r>
      <w:r w:rsidRPr="00B5759B">
        <w:rPr>
          <w:rFonts w:ascii="Times New Roman" w:hAnsi="宋体" w:hint="eastAsia"/>
        </w:rPr>
        <w:t>）开展事件营销业务，</w:t>
      </w:r>
      <w:r w:rsidRPr="00B5759B">
        <w:rPr>
          <w:rFonts w:ascii="Times New Roman" w:hAnsi="Times New Roman"/>
        </w:rPr>
        <w:t>1</w:t>
      </w:r>
      <w:r>
        <w:rPr>
          <w:rFonts w:ascii="Times New Roman" w:hAnsi="Times New Roman"/>
        </w:rPr>
        <w:t>2</w:t>
      </w:r>
      <w:r w:rsidRPr="00B5759B">
        <w:rPr>
          <w:rFonts w:ascii="Times New Roman" w:hAnsi="宋体" w:hint="eastAsia"/>
        </w:rPr>
        <w:t>家（</w:t>
      </w:r>
      <w:r>
        <w:rPr>
          <w:rFonts w:ascii="Times New Roman" w:hAnsi="宋体"/>
        </w:rPr>
        <w:t>34%</w:t>
      </w:r>
      <w:r w:rsidRPr="00B5759B">
        <w:rPr>
          <w:rFonts w:ascii="Times New Roman" w:hAnsi="宋体" w:hint="eastAsia"/>
        </w:rPr>
        <w:t>）开展政府关系业务，</w:t>
      </w:r>
      <w:r w:rsidRPr="00B5759B">
        <w:rPr>
          <w:rFonts w:ascii="Times New Roman" w:hAnsi="Times New Roman"/>
        </w:rPr>
        <w:t>1</w:t>
      </w:r>
      <w:r>
        <w:rPr>
          <w:rFonts w:ascii="Times New Roman" w:hAnsi="Times New Roman"/>
        </w:rPr>
        <w:t>4</w:t>
      </w:r>
      <w:r w:rsidRPr="00B5759B">
        <w:rPr>
          <w:rFonts w:ascii="Times New Roman" w:hAnsi="宋体" w:hint="eastAsia"/>
        </w:rPr>
        <w:t>家（</w:t>
      </w:r>
      <w:r>
        <w:rPr>
          <w:rFonts w:ascii="Times New Roman" w:hAnsi="宋体"/>
        </w:rPr>
        <w:t>40%</w:t>
      </w:r>
      <w:r w:rsidRPr="00B5759B">
        <w:rPr>
          <w:rFonts w:ascii="Times New Roman" w:hAnsi="宋体" w:hint="eastAsia"/>
        </w:rPr>
        <w:t>）开展危机管理</w:t>
      </w:r>
      <w:r>
        <w:rPr>
          <w:rFonts w:ascii="Times New Roman" w:hAnsi="宋体" w:hint="eastAsia"/>
        </w:rPr>
        <w:t>业务，</w:t>
      </w:r>
      <w:r>
        <w:rPr>
          <w:rFonts w:ascii="Times New Roman" w:hAnsi="Times New Roman"/>
        </w:rPr>
        <w:t>12</w:t>
      </w:r>
      <w:r w:rsidRPr="00B5759B">
        <w:rPr>
          <w:rFonts w:ascii="Times New Roman" w:hAnsi="宋体" w:hint="eastAsia"/>
        </w:rPr>
        <w:t>家（</w:t>
      </w:r>
      <w:r>
        <w:rPr>
          <w:rFonts w:ascii="Times New Roman" w:hAnsi="宋体"/>
        </w:rPr>
        <w:t>34%</w:t>
      </w:r>
      <w:r w:rsidRPr="00B5759B">
        <w:rPr>
          <w:rFonts w:ascii="Times New Roman" w:hAnsi="宋体" w:hint="eastAsia"/>
        </w:rPr>
        <w:t>）开展</w:t>
      </w:r>
      <w:r w:rsidRPr="00B5759B">
        <w:rPr>
          <w:rFonts w:ascii="Times New Roman" w:hAnsi="Times New Roman"/>
        </w:rPr>
        <w:t>CSR</w:t>
      </w:r>
      <w:r w:rsidRPr="00B5759B">
        <w:rPr>
          <w:rFonts w:ascii="Times New Roman" w:hAnsi="宋体" w:hint="eastAsia"/>
        </w:rPr>
        <w:t>项目，</w:t>
      </w:r>
      <w:r w:rsidRPr="00B5759B">
        <w:rPr>
          <w:rFonts w:ascii="Times New Roman" w:hAnsi="Times New Roman"/>
        </w:rPr>
        <w:t>8</w:t>
      </w:r>
      <w:r w:rsidRPr="00B5759B">
        <w:rPr>
          <w:rFonts w:ascii="Times New Roman" w:hAnsi="宋体" w:hint="eastAsia"/>
        </w:rPr>
        <w:t>家（</w:t>
      </w:r>
      <w:r>
        <w:rPr>
          <w:rFonts w:ascii="Times New Roman" w:hAnsi="宋体"/>
        </w:rPr>
        <w:t>23%</w:t>
      </w:r>
      <w:r w:rsidRPr="00B5759B">
        <w:rPr>
          <w:rFonts w:ascii="Times New Roman" w:hAnsi="宋体" w:hint="eastAsia"/>
        </w:rPr>
        <w:t>）开展城市营销业务，</w:t>
      </w:r>
      <w:r w:rsidRPr="00B5759B">
        <w:rPr>
          <w:rFonts w:ascii="Times New Roman" w:hAnsi="Times New Roman"/>
        </w:rPr>
        <w:t>7</w:t>
      </w:r>
      <w:r w:rsidRPr="00B5759B">
        <w:rPr>
          <w:rFonts w:ascii="Times New Roman" w:hAnsi="宋体" w:hint="eastAsia"/>
        </w:rPr>
        <w:t>家（</w:t>
      </w:r>
      <w:r>
        <w:rPr>
          <w:rFonts w:ascii="Times New Roman" w:hAnsi="宋体"/>
        </w:rPr>
        <w:t>20%</w:t>
      </w:r>
      <w:r w:rsidRPr="00B5759B">
        <w:rPr>
          <w:rFonts w:ascii="Times New Roman" w:hAnsi="宋体" w:hint="eastAsia"/>
        </w:rPr>
        <w:t>）开展娱乐营销业务，</w:t>
      </w:r>
      <w:r>
        <w:rPr>
          <w:rFonts w:ascii="Times New Roman" w:hAnsi="Times New Roman"/>
        </w:rPr>
        <w:t>5</w:t>
      </w:r>
      <w:r w:rsidRPr="00B5759B">
        <w:rPr>
          <w:rFonts w:ascii="Times New Roman" w:hAnsi="宋体" w:hint="eastAsia"/>
        </w:rPr>
        <w:t>家（</w:t>
      </w:r>
      <w:r>
        <w:rPr>
          <w:rFonts w:ascii="Times New Roman" w:hAnsi="宋体"/>
        </w:rPr>
        <w:t>14%</w:t>
      </w:r>
      <w:r w:rsidRPr="00B5759B">
        <w:rPr>
          <w:rFonts w:ascii="Times New Roman" w:hAnsi="宋体" w:hint="eastAsia"/>
        </w:rPr>
        <w:t>）开展体育营销业务，</w:t>
      </w:r>
      <w:r w:rsidRPr="00B5759B">
        <w:rPr>
          <w:rFonts w:ascii="Times New Roman" w:hAnsi="Times New Roman"/>
        </w:rPr>
        <w:t>2</w:t>
      </w:r>
      <w:r w:rsidRPr="00B5759B">
        <w:rPr>
          <w:rFonts w:ascii="Times New Roman" w:hAnsi="宋体" w:hint="eastAsia"/>
        </w:rPr>
        <w:t>家（</w:t>
      </w:r>
      <w:r>
        <w:rPr>
          <w:rFonts w:ascii="Times New Roman" w:hAnsi="宋体"/>
        </w:rPr>
        <w:t>6%</w:t>
      </w:r>
      <w:r w:rsidRPr="00B5759B">
        <w:rPr>
          <w:rFonts w:ascii="Times New Roman" w:hAnsi="宋体" w:hint="eastAsia"/>
        </w:rPr>
        <w:t>）开展议题管理，</w:t>
      </w:r>
      <w:r>
        <w:rPr>
          <w:rFonts w:ascii="Times New Roman" w:hAnsi="Times New Roman"/>
        </w:rPr>
        <w:t>2</w:t>
      </w:r>
      <w:r w:rsidRPr="00B5759B">
        <w:rPr>
          <w:rFonts w:ascii="Times New Roman" w:hAnsi="宋体" w:hint="eastAsia"/>
        </w:rPr>
        <w:t>家（</w:t>
      </w:r>
      <w:r>
        <w:rPr>
          <w:rFonts w:ascii="Times New Roman" w:hAnsi="宋体"/>
        </w:rPr>
        <w:t>6%</w:t>
      </w:r>
      <w:r w:rsidRPr="00B5759B">
        <w:rPr>
          <w:rFonts w:ascii="Times New Roman" w:hAnsi="宋体" w:hint="eastAsia"/>
        </w:rPr>
        <w:t>）其他业务。</w:t>
      </w:r>
    </w:p>
    <w:bookmarkEnd w:id="8"/>
    <w:bookmarkEnd w:id="9"/>
    <w:p w:rsidR="007C06C0" w:rsidRPr="00B5759B" w:rsidRDefault="007C06C0" w:rsidP="00886838">
      <w:pPr>
        <w:spacing w:beforeLines="50" w:afterLines="50" w:line="276" w:lineRule="auto"/>
        <w:ind w:firstLine="420"/>
        <w:rPr>
          <w:rFonts w:ascii="Times New Roman" w:hAnsi="Times New Roman"/>
        </w:rPr>
      </w:pPr>
      <w:r w:rsidRPr="00B5759B">
        <w:rPr>
          <w:rFonts w:ascii="Times New Roman" w:hAnsi="宋体" w:hint="eastAsia"/>
        </w:rPr>
        <w:t>据统计，</w:t>
      </w:r>
      <w:r w:rsidRPr="00B5759B">
        <w:rPr>
          <w:rFonts w:ascii="Times New Roman" w:hAnsi="Times New Roman"/>
        </w:rPr>
        <w:t>35</w:t>
      </w:r>
      <w:r w:rsidRPr="00B5759B">
        <w:rPr>
          <w:rFonts w:ascii="Times New Roman" w:hAnsi="宋体" w:hint="eastAsia"/>
        </w:rPr>
        <w:t>家公司中</w:t>
      </w:r>
      <w:r>
        <w:rPr>
          <w:rFonts w:ascii="Times New Roman" w:hAnsi="Times New Roman"/>
        </w:rPr>
        <w:t>94%</w:t>
      </w:r>
      <w:r w:rsidRPr="00B5759B">
        <w:rPr>
          <w:rFonts w:ascii="Times New Roman" w:hAnsi="宋体" w:hint="eastAsia"/>
        </w:rPr>
        <w:t>的公司开展</w:t>
      </w:r>
      <w:r>
        <w:rPr>
          <w:rFonts w:ascii="Times New Roman" w:hAnsi="宋体" w:hint="eastAsia"/>
        </w:rPr>
        <w:t>网络公关</w:t>
      </w:r>
      <w:r w:rsidRPr="00B5759B">
        <w:rPr>
          <w:rFonts w:ascii="Times New Roman" w:hAnsi="宋体" w:hint="eastAsia"/>
        </w:rPr>
        <w:t>业务。网络公关业务营业收入在</w:t>
      </w:r>
      <w:r w:rsidRPr="00B5759B">
        <w:rPr>
          <w:rFonts w:ascii="Times New Roman" w:hAnsi="Times New Roman"/>
        </w:rPr>
        <w:t>3000</w:t>
      </w:r>
      <w:r w:rsidRPr="00B5759B">
        <w:rPr>
          <w:rFonts w:ascii="Times New Roman" w:hAnsi="宋体" w:hint="eastAsia"/>
        </w:rPr>
        <w:t>万元以上的公司为</w:t>
      </w:r>
      <w:r w:rsidRPr="00B5759B">
        <w:rPr>
          <w:rFonts w:ascii="Times New Roman" w:hAnsi="Times New Roman"/>
        </w:rPr>
        <w:t>6</w:t>
      </w:r>
      <w:r w:rsidRPr="00B5759B">
        <w:rPr>
          <w:rFonts w:ascii="Times New Roman" w:hAnsi="宋体" w:hint="eastAsia"/>
        </w:rPr>
        <w:t>家。</w:t>
      </w:r>
    </w:p>
    <w:p w:rsidR="007C06C0" w:rsidRDefault="007C06C0" w:rsidP="003F636E">
      <w:pPr>
        <w:rPr>
          <w:rFonts w:ascii="Times New Roman" w:hAnsi="Times New Roman"/>
          <w:szCs w:val="21"/>
        </w:rPr>
      </w:pPr>
      <w:r>
        <w:rPr>
          <w:rFonts w:ascii="Times New Roman" w:hAnsi="Times New Roman"/>
          <w:noProof/>
          <w:szCs w:val="21"/>
        </w:rPr>
        <w:lastRenderedPageBreak/>
        <w:drawing>
          <wp:inline distT="0" distB="0" distL="0" distR="0">
            <wp:extent cx="5295900" cy="3086100"/>
            <wp:effectExtent l="0" t="0" r="0" b="0"/>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06C0" w:rsidRPr="00D85FCE" w:rsidRDefault="007C06C0" w:rsidP="003F636E">
      <w:pPr>
        <w:jc w:val="center"/>
        <w:rPr>
          <w:rFonts w:ascii="黑体" w:eastAsia="黑体" w:hAnsi="黑体"/>
          <w:szCs w:val="21"/>
        </w:rPr>
      </w:pPr>
      <w:r w:rsidRPr="00D85FCE">
        <w:rPr>
          <w:rFonts w:ascii="黑体" w:eastAsia="黑体" w:hAnsi="黑体" w:hint="eastAsia"/>
          <w:szCs w:val="21"/>
        </w:rPr>
        <w:t>图</w:t>
      </w:r>
      <w:r w:rsidRPr="00D85FCE">
        <w:rPr>
          <w:rFonts w:ascii="黑体" w:eastAsia="黑体" w:hAnsi="黑体"/>
          <w:szCs w:val="21"/>
        </w:rPr>
        <w:t>5</w:t>
      </w:r>
      <w:r w:rsidRPr="00D85FCE">
        <w:rPr>
          <w:rFonts w:ascii="黑体" w:eastAsia="黑体" w:hAnsi="黑体" w:hint="eastAsia"/>
          <w:szCs w:val="21"/>
        </w:rPr>
        <w:t>业务潜力市场构成（公司数）</w:t>
      </w:r>
    </w:p>
    <w:p w:rsidR="007C06C0" w:rsidRPr="00B5759B" w:rsidRDefault="007C06C0" w:rsidP="00886838">
      <w:pPr>
        <w:spacing w:beforeLines="50" w:afterLines="50" w:line="276" w:lineRule="auto"/>
        <w:ind w:firstLine="420"/>
        <w:rPr>
          <w:rFonts w:ascii="Times New Roman" w:hAnsi="Times New Roman"/>
          <w:color w:val="000000"/>
        </w:rPr>
      </w:pPr>
      <w:bookmarkStart w:id="10" w:name="OLE_LINK9"/>
      <w:bookmarkStart w:id="11" w:name="OLE_LINK10"/>
      <w:r w:rsidRPr="00B5759B">
        <w:rPr>
          <w:rFonts w:ascii="Times New Roman" w:hAnsi="Times New Roman"/>
          <w:color w:val="000000"/>
        </w:rPr>
        <w:t>3</w:t>
      </w:r>
      <w:r>
        <w:rPr>
          <w:rFonts w:ascii="Times New Roman" w:hAnsi="Times New Roman"/>
          <w:color w:val="000000"/>
        </w:rPr>
        <w:t>5</w:t>
      </w:r>
      <w:r w:rsidRPr="00B5759B">
        <w:rPr>
          <w:rFonts w:ascii="Times New Roman" w:hAnsi="宋体" w:hint="eastAsia"/>
          <w:color w:val="000000"/>
        </w:rPr>
        <w:t>家公司中开展网络公关业务的公司中，</w:t>
      </w:r>
      <w:r w:rsidRPr="00B5759B">
        <w:rPr>
          <w:rFonts w:ascii="Times New Roman" w:hAnsi="Times New Roman"/>
          <w:color w:val="000000"/>
        </w:rPr>
        <w:t xml:space="preserve"> 2</w:t>
      </w:r>
      <w:r>
        <w:rPr>
          <w:rFonts w:ascii="Times New Roman" w:hAnsi="Times New Roman"/>
          <w:color w:val="000000"/>
        </w:rPr>
        <w:t>4</w:t>
      </w:r>
      <w:r w:rsidRPr="00B5759B">
        <w:rPr>
          <w:rFonts w:ascii="Times New Roman" w:hAnsi="宋体" w:hint="eastAsia"/>
          <w:color w:val="000000"/>
        </w:rPr>
        <w:t>家提供舆情监测服务（</w:t>
      </w:r>
      <w:r>
        <w:rPr>
          <w:rFonts w:ascii="Times New Roman" w:hAnsi="宋体"/>
          <w:color w:val="000000"/>
        </w:rPr>
        <w:t>68</w:t>
      </w:r>
      <w:r w:rsidRPr="00B5759B">
        <w:rPr>
          <w:rFonts w:ascii="Times New Roman" w:hAnsi="Times New Roman"/>
          <w:color w:val="000000"/>
        </w:rPr>
        <w:t>%</w:t>
      </w:r>
      <w:r w:rsidRPr="00B5759B">
        <w:rPr>
          <w:rFonts w:ascii="Times New Roman" w:hAnsi="宋体" w:hint="eastAsia"/>
          <w:color w:val="000000"/>
        </w:rPr>
        <w:t>），</w:t>
      </w:r>
      <w:r w:rsidRPr="00B5759B">
        <w:rPr>
          <w:rFonts w:ascii="Times New Roman" w:hAnsi="Times New Roman"/>
          <w:color w:val="000000"/>
        </w:rPr>
        <w:t>2</w:t>
      </w:r>
      <w:r>
        <w:rPr>
          <w:rFonts w:ascii="Times New Roman" w:hAnsi="Times New Roman"/>
          <w:color w:val="000000"/>
        </w:rPr>
        <w:t>5</w:t>
      </w:r>
      <w:r w:rsidRPr="00B5759B">
        <w:rPr>
          <w:rFonts w:ascii="Times New Roman" w:hAnsi="宋体" w:hint="eastAsia"/>
          <w:color w:val="000000"/>
        </w:rPr>
        <w:t>家提供口碑营销服务</w:t>
      </w:r>
      <w:r w:rsidRPr="00B5759B">
        <w:rPr>
          <w:rFonts w:ascii="Times New Roman" w:hAnsi="Times New Roman"/>
          <w:color w:val="000000"/>
        </w:rPr>
        <w:t>(</w:t>
      </w:r>
      <w:r>
        <w:rPr>
          <w:rFonts w:ascii="Times New Roman" w:hAnsi="Times New Roman"/>
          <w:color w:val="000000"/>
        </w:rPr>
        <w:t>71</w:t>
      </w:r>
      <w:r w:rsidRPr="00B5759B">
        <w:rPr>
          <w:rFonts w:ascii="Times New Roman" w:hAnsi="Times New Roman"/>
          <w:color w:val="000000"/>
        </w:rPr>
        <w:t>%)</w:t>
      </w:r>
      <w:r w:rsidRPr="00B5759B">
        <w:rPr>
          <w:rFonts w:ascii="Times New Roman" w:hAnsi="宋体" w:hint="eastAsia"/>
          <w:color w:val="000000"/>
        </w:rPr>
        <w:t>，</w:t>
      </w:r>
      <w:r w:rsidRPr="00B5759B">
        <w:rPr>
          <w:rFonts w:ascii="Times New Roman" w:hAnsi="Times New Roman"/>
          <w:color w:val="000000"/>
        </w:rPr>
        <w:t>2</w:t>
      </w:r>
      <w:r>
        <w:rPr>
          <w:rFonts w:ascii="Times New Roman" w:hAnsi="Times New Roman"/>
          <w:color w:val="000000"/>
        </w:rPr>
        <w:t>5</w:t>
      </w:r>
      <w:r w:rsidRPr="00B5759B">
        <w:rPr>
          <w:rFonts w:ascii="Times New Roman" w:hAnsi="宋体" w:hint="eastAsia"/>
          <w:color w:val="000000"/>
        </w:rPr>
        <w:t>家提供产品推广服务（</w:t>
      </w:r>
      <w:r>
        <w:rPr>
          <w:rFonts w:ascii="Times New Roman" w:hAnsi="宋体"/>
          <w:color w:val="000000"/>
        </w:rPr>
        <w:t>71</w:t>
      </w:r>
      <w:r w:rsidRPr="00B5759B">
        <w:rPr>
          <w:rFonts w:ascii="Times New Roman" w:hAnsi="Times New Roman"/>
          <w:color w:val="000000"/>
        </w:rPr>
        <w:t>%</w:t>
      </w:r>
      <w:r w:rsidRPr="00B5759B">
        <w:rPr>
          <w:rFonts w:ascii="Times New Roman" w:hAnsi="宋体" w:hint="eastAsia"/>
          <w:color w:val="000000"/>
        </w:rPr>
        <w:t>），</w:t>
      </w:r>
      <w:r w:rsidRPr="00B5759B">
        <w:rPr>
          <w:rFonts w:ascii="Times New Roman" w:hAnsi="Times New Roman"/>
          <w:color w:val="000000"/>
        </w:rPr>
        <w:t>2</w:t>
      </w:r>
      <w:r>
        <w:rPr>
          <w:rFonts w:ascii="Times New Roman" w:hAnsi="Times New Roman"/>
          <w:color w:val="000000"/>
        </w:rPr>
        <w:t>3</w:t>
      </w:r>
      <w:r w:rsidRPr="00B5759B">
        <w:rPr>
          <w:rFonts w:ascii="Times New Roman" w:hAnsi="宋体" w:hint="eastAsia"/>
          <w:color w:val="000000"/>
        </w:rPr>
        <w:t>家提供企业传播服务（</w:t>
      </w:r>
      <w:r>
        <w:rPr>
          <w:rFonts w:ascii="Times New Roman" w:hAnsi="宋体"/>
          <w:color w:val="000000"/>
        </w:rPr>
        <w:t>66</w:t>
      </w:r>
      <w:r w:rsidRPr="00B5759B">
        <w:rPr>
          <w:rFonts w:ascii="Times New Roman" w:hAnsi="Times New Roman"/>
          <w:color w:val="000000"/>
        </w:rPr>
        <w:t>%</w:t>
      </w:r>
      <w:r w:rsidRPr="00B5759B">
        <w:rPr>
          <w:rFonts w:ascii="Times New Roman" w:hAnsi="宋体" w:hint="eastAsia"/>
          <w:color w:val="000000"/>
        </w:rPr>
        <w:t>），</w:t>
      </w:r>
      <w:r>
        <w:rPr>
          <w:rFonts w:ascii="Times New Roman" w:hAnsi="Times New Roman"/>
          <w:color w:val="000000"/>
        </w:rPr>
        <w:t>23</w:t>
      </w:r>
      <w:r w:rsidRPr="00B5759B">
        <w:rPr>
          <w:rFonts w:ascii="Times New Roman" w:hAnsi="宋体" w:hint="eastAsia"/>
          <w:color w:val="000000"/>
        </w:rPr>
        <w:t>家提供事件营销（</w:t>
      </w:r>
      <w:r>
        <w:rPr>
          <w:rFonts w:ascii="Times New Roman" w:hAnsi="宋体"/>
          <w:color w:val="000000"/>
        </w:rPr>
        <w:t>66</w:t>
      </w:r>
      <w:r w:rsidRPr="00B5759B">
        <w:rPr>
          <w:rFonts w:ascii="Times New Roman" w:hAnsi="Times New Roman"/>
          <w:color w:val="000000"/>
        </w:rPr>
        <w:t>%</w:t>
      </w:r>
      <w:r w:rsidRPr="00B5759B">
        <w:rPr>
          <w:rFonts w:ascii="Times New Roman" w:hAnsi="宋体" w:hint="eastAsia"/>
          <w:color w:val="000000"/>
        </w:rPr>
        <w:t>），</w:t>
      </w:r>
      <w:r>
        <w:rPr>
          <w:rFonts w:ascii="Times New Roman" w:hAnsi="Times New Roman"/>
          <w:color w:val="000000"/>
        </w:rPr>
        <w:t>23</w:t>
      </w:r>
      <w:r w:rsidRPr="00B5759B">
        <w:rPr>
          <w:rFonts w:ascii="Times New Roman" w:hAnsi="宋体" w:hint="eastAsia"/>
          <w:color w:val="000000"/>
        </w:rPr>
        <w:t>家提供整合传播服务（</w:t>
      </w:r>
      <w:r>
        <w:rPr>
          <w:rFonts w:ascii="Times New Roman" w:hAnsi="宋体"/>
          <w:color w:val="000000"/>
        </w:rPr>
        <w:t>66</w:t>
      </w:r>
      <w:r w:rsidRPr="00B5759B">
        <w:rPr>
          <w:rFonts w:ascii="Times New Roman" w:hAnsi="Times New Roman"/>
          <w:color w:val="000000"/>
        </w:rPr>
        <w:t>%</w:t>
      </w:r>
      <w:r w:rsidRPr="00B5759B">
        <w:rPr>
          <w:rFonts w:ascii="Times New Roman" w:hAnsi="宋体" w:hint="eastAsia"/>
          <w:color w:val="000000"/>
        </w:rPr>
        <w:t>）</w:t>
      </w:r>
      <w:r w:rsidRPr="00B5759B">
        <w:rPr>
          <w:rFonts w:ascii="Times New Roman" w:hAnsi="宋体" w:hint="eastAsia"/>
          <w:b/>
          <w:color w:val="000000"/>
        </w:rPr>
        <w:t>，</w:t>
      </w:r>
      <w:r w:rsidRPr="00B5759B">
        <w:rPr>
          <w:rFonts w:ascii="Times New Roman" w:hAnsi="Times New Roman"/>
          <w:color w:val="000000"/>
        </w:rPr>
        <w:t>1</w:t>
      </w:r>
      <w:r>
        <w:rPr>
          <w:rFonts w:ascii="Times New Roman" w:hAnsi="Times New Roman"/>
          <w:color w:val="000000"/>
        </w:rPr>
        <w:t>9</w:t>
      </w:r>
      <w:r w:rsidRPr="00B5759B">
        <w:rPr>
          <w:rFonts w:ascii="Times New Roman" w:hAnsi="宋体" w:hint="eastAsia"/>
          <w:color w:val="000000"/>
        </w:rPr>
        <w:t>家提供危机处理服务（</w:t>
      </w:r>
      <w:r>
        <w:rPr>
          <w:rFonts w:ascii="Times New Roman" w:hAnsi="宋体"/>
          <w:color w:val="000000"/>
        </w:rPr>
        <w:t>54</w:t>
      </w:r>
      <w:r w:rsidRPr="00B5759B">
        <w:rPr>
          <w:rFonts w:ascii="Times New Roman" w:hAnsi="Times New Roman"/>
          <w:color w:val="000000"/>
        </w:rPr>
        <w:t>%</w:t>
      </w:r>
      <w:r w:rsidRPr="00B5759B">
        <w:rPr>
          <w:rFonts w:ascii="Times New Roman" w:hAnsi="宋体" w:hint="eastAsia"/>
          <w:color w:val="000000"/>
        </w:rPr>
        <w:t>）。</w:t>
      </w:r>
    </w:p>
    <w:bookmarkEnd w:id="10"/>
    <w:bookmarkEnd w:id="11"/>
    <w:p w:rsidR="007C06C0" w:rsidRPr="00D61A68" w:rsidRDefault="007C06C0" w:rsidP="003F636E">
      <w:pPr>
        <w:rPr>
          <w:rFonts w:ascii="Times New Roman" w:hAnsi="Times New Roman"/>
          <w:szCs w:val="21"/>
        </w:rPr>
      </w:pPr>
      <w:r>
        <w:rPr>
          <w:rFonts w:ascii="Times New Roman" w:hAnsi="Times New Roman"/>
          <w:noProof/>
          <w:szCs w:val="21"/>
        </w:rPr>
        <w:drawing>
          <wp:inline distT="0" distB="0" distL="0" distR="0">
            <wp:extent cx="5372100" cy="2628900"/>
            <wp:effectExtent l="19050" t="0" r="19050" b="0"/>
            <wp:docPr id="4"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06C0" w:rsidRPr="00D85FCE" w:rsidRDefault="007C06C0" w:rsidP="003F636E">
      <w:pPr>
        <w:jc w:val="center"/>
        <w:rPr>
          <w:rFonts w:ascii="黑体" w:eastAsia="黑体" w:hAnsi="黑体"/>
          <w:szCs w:val="21"/>
        </w:rPr>
      </w:pPr>
      <w:r w:rsidRPr="00D85FCE">
        <w:rPr>
          <w:rFonts w:ascii="黑体" w:eastAsia="黑体" w:hAnsi="黑体" w:hint="eastAsia"/>
          <w:szCs w:val="21"/>
        </w:rPr>
        <w:t>图</w:t>
      </w:r>
      <w:r w:rsidRPr="00D85FCE">
        <w:rPr>
          <w:rFonts w:ascii="黑体" w:eastAsia="黑体" w:hAnsi="黑体"/>
          <w:szCs w:val="21"/>
        </w:rPr>
        <w:t xml:space="preserve">6 </w:t>
      </w:r>
      <w:r w:rsidRPr="00D85FCE">
        <w:rPr>
          <w:rFonts w:ascii="黑体" w:eastAsia="黑体" w:hAnsi="黑体" w:hint="eastAsia"/>
          <w:szCs w:val="21"/>
        </w:rPr>
        <w:t>网络公关服务构成（公司数）</w:t>
      </w:r>
    </w:p>
    <w:p w:rsidR="007C06C0" w:rsidRPr="00B5759B" w:rsidRDefault="007C06C0" w:rsidP="00886838">
      <w:pPr>
        <w:spacing w:beforeLines="50" w:afterLines="50" w:line="276" w:lineRule="auto"/>
        <w:ind w:firstLineChars="200" w:firstLine="420"/>
        <w:rPr>
          <w:rFonts w:ascii="Times New Roman" w:hAnsi="Times New Roman"/>
        </w:rPr>
      </w:pPr>
      <w:r w:rsidRPr="00B5759B">
        <w:rPr>
          <w:rFonts w:ascii="Times New Roman" w:hAnsi="宋体" w:hint="eastAsia"/>
        </w:rPr>
        <w:t>调查显示，</w:t>
      </w:r>
      <w:r w:rsidRPr="00B5759B">
        <w:rPr>
          <w:rFonts w:ascii="Times New Roman" w:hAnsi="Times New Roman"/>
        </w:rPr>
        <w:t>TOP25</w:t>
      </w:r>
      <w:r w:rsidRPr="00B5759B">
        <w:rPr>
          <w:rFonts w:ascii="Times New Roman" w:hAnsi="宋体" w:hint="eastAsia"/>
        </w:rPr>
        <w:t>榜单公司全部在</w:t>
      </w:r>
      <w:r w:rsidRPr="00B5759B">
        <w:rPr>
          <w:rFonts w:ascii="Times New Roman" w:hAnsi="Times New Roman"/>
        </w:rPr>
        <w:t>2</w:t>
      </w:r>
      <w:r w:rsidRPr="00B5759B">
        <w:rPr>
          <w:rFonts w:ascii="Times New Roman" w:hAnsi="宋体" w:hint="eastAsia"/>
        </w:rPr>
        <w:t>个或</w:t>
      </w:r>
      <w:r w:rsidRPr="00B5759B">
        <w:rPr>
          <w:rFonts w:ascii="Times New Roman" w:hAnsi="Times New Roman"/>
        </w:rPr>
        <w:t>2</w:t>
      </w:r>
      <w:r w:rsidRPr="00B5759B">
        <w:rPr>
          <w:rFonts w:ascii="Times New Roman" w:hAnsi="宋体" w:hint="eastAsia"/>
        </w:rPr>
        <w:t>个以上城市设办公室，有</w:t>
      </w:r>
      <w:r>
        <w:rPr>
          <w:rFonts w:ascii="Times New Roman" w:hAnsi="Times New Roman"/>
        </w:rPr>
        <w:t>8</w:t>
      </w:r>
      <w:r w:rsidRPr="00B5759B">
        <w:rPr>
          <w:rFonts w:ascii="Times New Roman" w:hAnsi="宋体" w:hint="eastAsia"/>
        </w:rPr>
        <w:t>家公司在超过</w:t>
      </w:r>
      <w:r w:rsidRPr="00B5759B">
        <w:rPr>
          <w:rFonts w:ascii="Times New Roman" w:hAnsi="Times New Roman"/>
        </w:rPr>
        <w:t>5</w:t>
      </w:r>
      <w:r w:rsidRPr="00B5759B">
        <w:rPr>
          <w:rFonts w:ascii="Times New Roman" w:hAnsi="宋体" w:hint="eastAsia"/>
        </w:rPr>
        <w:t>个以上城市设立了分公司或办事处。</w:t>
      </w:r>
    </w:p>
    <w:p w:rsidR="007C06C0" w:rsidRPr="00B5759B" w:rsidRDefault="007C06C0" w:rsidP="00886838">
      <w:pPr>
        <w:spacing w:beforeLines="50" w:afterLines="50" w:line="276" w:lineRule="auto"/>
        <w:ind w:firstLineChars="200" w:firstLine="420"/>
        <w:rPr>
          <w:rFonts w:ascii="Times New Roman" w:hAnsi="Times New Roman"/>
        </w:rPr>
      </w:pPr>
      <w:r w:rsidRPr="00B5759B">
        <w:rPr>
          <w:rFonts w:ascii="Times New Roman" w:hAnsi="宋体" w:hint="eastAsia"/>
        </w:rPr>
        <w:t>北京、上海、广州和成都等四地仍是公关公司的主要集中地，北京仍占据主要市场份额，以上海、广州和成都为中心的区域市场正在形成，这些公司主要集中在省会城市，本地业务为主体业务，活动传播为主要业务类型。</w:t>
      </w:r>
    </w:p>
    <w:p w:rsidR="007C06C0" w:rsidRPr="00E62EA8" w:rsidRDefault="007C06C0" w:rsidP="003F636E">
      <w:pPr>
        <w:jc w:val="center"/>
        <w:rPr>
          <w:rFonts w:ascii="Times New Roman" w:hAnsi="Times New Roman"/>
          <w:szCs w:val="21"/>
        </w:rPr>
      </w:pPr>
      <w:r>
        <w:rPr>
          <w:rFonts w:ascii="华文中宋" w:eastAsia="华文中宋" w:hAnsi="华文中宋"/>
          <w:b/>
          <w:bCs/>
          <w:sz w:val="44"/>
        </w:rPr>
        <w:lastRenderedPageBreak/>
        <w:t>TOP25</w:t>
      </w:r>
      <w:r>
        <w:rPr>
          <w:rFonts w:ascii="华文中宋" w:eastAsia="华文中宋" w:hAnsi="华文中宋" w:hint="eastAsia"/>
          <w:b/>
          <w:bCs/>
          <w:sz w:val="44"/>
        </w:rPr>
        <w:t>公司研究</w:t>
      </w:r>
    </w:p>
    <w:p w:rsidR="007C06C0" w:rsidRPr="004A5A33" w:rsidRDefault="007C06C0" w:rsidP="00886838">
      <w:pPr>
        <w:spacing w:beforeLines="50" w:afterLines="50" w:line="276" w:lineRule="auto"/>
        <w:rPr>
          <w:rFonts w:ascii="宋体"/>
          <w:b/>
          <w:bCs/>
        </w:rPr>
      </w:pPr>
      <w:r w:rsidRPr="004A5A33">
        <w:rPr>
          <w:rFonts w:ascii="宋体" w:hAnsi="宋体" w:hint="eastAsia"/>
          <w:b/>
          <w:bCs/>
        </w:rPr>
        <w:t>营业情况：</w:t>
      </w:r>
    </w:p>
    <w:p w:rsidR="007C06C0" w:rsidRPr="00F47AE0" w:rsidRDefault="007C06C0" w:rsidP="00886838">
      <w:pPr>
        <w:numPr>
          <w:ilvl w:val="0"/>
          <w:numId w:val="1"/>
        </w:numPr>
        <w:spacing w:beforeLines="50" w:afterLines="50" w:line="276" w:lineRule="auto"/>
        <w:rPr>
          <w:rFonts w:ascii="Times New Roman" w:hAnsi="Times New Roman"/>
        </w:rPr>
      </w:pPr>
      <w:r w:rsidRPr="00B5759B">
        <w:rPr>
          <w:rFonts w:ascii="Times New Roman" w:hAnsi="Times New Roman"/>
        </w:rPr>
        <w:t>TOP</w:t>
      </w:r>
      <w:r>
        <w:rPr>
          <w:rFonts w:ascii="Times New Roman" w:hAnsi="Times New Roman"/>
        </w:rPr>
        <w:t>25</w:t>
      </w:r>
      <w:r w:rsidRPr="00B5759B">
        <w:rPr>
          <w:rFonts w:ascii="Times New Roman" w:hAnsi="宋体" w:hint="eastAsia"/>
        </w:rPr>
        <w:t>公司增长势头良好，蓝色光标、灵思营销、</w:t>
      </w:r>
      <w:r>
        <w:rPr>
          <w:rFonts w:ascii="Times New Roman" w:hAnsi="宋体" w:hint="eastAsia"/>
        </w:rPr>
        <w:t>宣亚国际、</w:t>
      </w:r>
      <w:proofErr w:type="gramStart"/>
      <w:r w:rsidRPr="00B5759B">
        <w:rPr>
          <w:rFonts w:ascii="Times New Roman" w:hAnsi="宋体" w:hint="eastAsia"/>
        </w:rPr>
        <w:t>迪</w:t>
      </w:r>
      <w:proofErr w:type="gramEnd"/>
      <w:r w:rsidRPr="00B5759B">
        <w:rPr>
          <w:rFonts w:ascii="Times New Roman" w:hAnsi="宋体" w:hint="eastAsia"/>
        </w:rPr>
        <w:t>思</w:t>
      </w:r>
      <w:r>
        <w:rPr>
          <w:rFonts w:ascii="Times New Roman" w:hAnsi="宋体" w:hint="eastAsia"/>
        </w:rPr>
        <w:t>传媒</w:t>
      </w:r>
      <w:r w:rsidRPr="00B5759B">
        <w:rPr>
          <w:rFonts w:ascii="Times New Roman" w:hAnsi="宋体" w:hint="eastAsia"/>
        </w:rPr>
        <w:t>、</w:t>
      </w:r>
      <w:r w:rsidRPr="00F47AE0">
        <w:rPr>
          <w:rFonts w:ascii="Times New Roman" w:hAnsi="宋体" w:hint="eastAsia"/>
        </w:rPr>
        <w:t>伟达</w:t>
      </w:r>
      <w:r>
        <w:rPr>
          <w:rFonts w:ascii="Times New Roman" w:hAnsi="宋体" w:hint="eastAsia"/>
        </w:rPr>
        <w:t>公关</w:t>
      </w:r>
      <w:r w:rsidRPr="00F47AE0">
        <w:rPr>
          <w:rFonts w:ascii="Times New Roman" w:hAnsi="宋体" w:hint="eastAsia"/>
        </w:rPr>
        <w:t>、</w:t>
      </w:r>
      <w:proofErr w:type="gramStart"/>
      <w:r w:rsidRPr="00F47AE0">
        <w:rPr>
          <w:rFonts w:ascii="Times New Roman" w:hAnsi="宋体" w:hint="eastAsia"/>
        </w:rPr>
        <w:t>新势整合</w:t>
      </w:r>
      <w:proofErr w:type="gramEnd"/>
      <w:r w:rsidRPr="00F47AE0">
        <w:rPr>
          <w:rFonts w:ascii="Times New Roman" w:hAnsi="宋体" w:hint="eastAsia"/>
        </w:rPr>
        <w:t>、爱德曼</w:t>
      </w:r>
      <w:r w:rsidR="00886838">
        <w:rPr>
          <w:rFonts w:ascii="Times New Roman" w:hAnsi="宋体" w:hint="eastAsia"/>
        </w:rPr>
        <w:t>集团</w:t>
      </w:r>
      <w:r w:rsidRPr="00F47AE0">
        <w:rPr>
          <w:rFonts w:ascii="Times New Roman" w:hAnsi="宋体" w:hint="eastAsia"/>
        </w:rPr>
        <w:t>、</w:t>
      </w:r>
      <w:proofErr w:type="gramStart"/>
      <w:r>
        <w:rPr>
          <w:rFonts w:ascii="Times New Roman" w:hAnsi="宋体" w:hint="eastAsia"/>
        </w:rPr>
        <w:t>传智传播</w:t>
      </w:r>
      <w:proofErr w:type="gramEnd"/>
      <w:r w:rsidRPr="00F47AE0">
        <w:rPr>
          <w:rFonts w:ascii="Times New Roman" w:hAnsi="宋体" w:hint="eastAsia"/>
        </w:rPr>
        <w:t>、</w:t>
      </w:r>
      <w:r w:rsidRPr="00B5759B">
        <w:rPr>
          <w:rFonts w:ascii="Times New Roman" w:hAnsi="宋体" w:hint="eastAsia"/>
        </w:rPr>
        <w:t>信诺传播、</w:t>
      </w:r>
      <w:r>
        <w:rPr>
          <w:rFonts w:ascii="Times New Roman" w:hAnsi="宋体" w:hint="eastAsia"/>
        </w:rPr>
        <w:t>博雅公关、奥美公关</w:t>
      </w:r>
      <w:r>
        <w:rPr>
          <w:rFonts w:ascii="Times New Roman" w:hAnsi="Times New Roman" w:hint="eastAsia"/>
        </w:rPr>
        <w:t>、</w:t>
      </w:r>
      <w:proofErr w:type="gramStart"/>
      <w:r w:rsidRPr="00F47AE0">
        <w:rPr>
          <w:rFonts w:ascii="Times New Roman" w:hAnsi="宋体" w:hint="eastAsia"/>
        </w:rPr>
        <w:t>哲基友拓</w:t>
      </w:r>
      <w:proofErr w:type="gramEnd"/>
      <w:r w:rsidRPr="00F47AE0">
        <w:rPr>
          <w:rFonts w:ascii="Times New Roman" w:hAnsi="宋体" w:hint="eastAsia"/>
        </w:rPr>
        <w:t>、</w:t>
      </w:r>
      <w:r>
        <w:rPr>
          <w:rFonts w:ascii="Times New Roman" w:hAnsi="宋体" w:hint="eastAsia"/>
        </w:rPr>
        <w:t>海天网联、</w:t>
      </w:r>
      <w:r w:rsidR="007E3E49">
        <w:rPr>
          <w:rFonts w:ascii="Times New Roman" w:hAnsi="宋体" w:hint="eastAsia"/>
        </w:rPr>
        <w:t>嘉利公关</w:t>
      </w:r>
      <w:r w:rsidRPr="00F47AE0">
        <w:rPr>
          <w:rFonts w:ascii="Times New Roman" w:hAnsi="宋体" w:hint="eastAsia"/>
        </w:rPr>
        <w:t>等公司年营业收入</w:t>
      </w:r>
      <w:r w:rsidR="00BC367B" w:rsidRPr="00636C81">
        <w:rPr>
          <w:rFonts w:ascii="Times New Roman" w:hAnsi="宋体" w:hint="eastAsia"/>
        </w:rPr>
        <w:t>（</w:t>
      </w:r>
      <w:r w:rsidR="00636C81" w:rsidRPr="00636C81">
        <w:rPr>
          <w:rFonts w:ascii="Times New Roman" w:hAnsi="宋体" w:hint="eastAsia"/>
        </w:rPr>
        <w:t>F</w:t>
      </w:r>
      <w:r w:rsidR="00BC367B" w:rsidRPr="00636C81">
        <w:rPr>
          <w:rFonts w:ascii="Times New Roman" w:hAnsi="宋体" w:hint="eastAsia"/>
        </w:rPr>
        <w:t>ee</w:t>
      </w:r>
      <w:r w:rsidR="00BC367B" w:rsidRPr="00636C81">
        <w:rPr>
          <w:rFonts w:ascii="Times New Roman" w:hAnsi="宋体"/>
        </w:rPr>
        <w:t>）</w:t>
      </w:r>
      <w:r w:rsidRPr="00F47AE0">
        <w:rPr>
          <w:rFonts w:ascii="Times New Roman" w:hAnsi="宋体" w:hint="eastAsia"/>
        </w:rPr>
        <w:t>超过</w:t>
      </w:r>
      <w:r w:rsidRPr="00F47AE0">
        <w:rPr>
          <w:rFonts w:ascii="Times New Roman" w:hAnsi="Times New Roman"/>
        </w:rPr>
        <w:t>1</w:t>
      </w:r>
      <w:r w:rsidRPr="00F47AE0">
        <w:rPr>
          <w:rFonts w:ascii="Times New Roman" w:hAnsi="宋体" w:hint="eastAsia"/>
        </w:rPr>
        <w:t>亿元人民币。蓝色光标更是超过</w:t>
      </w:r>
      <w:r w:rsidRPr="00F47AE0">
        <w:rPr>
          <w:rFonts w:ascii="Times New Roman" w:hAnsi="Times New Roman"/>
        </w:rPr>
        <w:t>4</w:t>
      </w:r>
      <w:r w:rsidRPr="00F47AE0">
        <w:rPr>
          <w:rFonts w:ascii="Times New Roman" w:hAnsi="宋体" w:hint="eastAsia"/>
        </w:rPr>
        <w:t>亿元人民币。</w:t>
      </w:r>
    </w:p>
    <w:p w:rsidR="007C06C0" w:rsidRPr="00B5759B" w:rsidRDefault="007C06C0" w:rsidP="00886838">
      <w:pPr>
        <w:numPr>
          <w:ilvl w:val="0"/>
          <w:numId w:val="1"/>
        </w:numPr>
        <w:spacing w:beforeLines="50" w:afterLines="50" w:line="276" w:lineRule="auto"/>
        <w:rPr>
          <w:rFonts w:ascii="Times New Roman" w:hAnsi="Times New Roman"/>
        </w:rPr>
      </w:pPr>
      <w:r w:rsidRPr="00B5759B">
        <w:rPr>
          <w:rFonts w:ascii="Times New Roman" w:hAnsi="Times New Roman"/>
        </w:rPr>
        <w:t>TOP</w:t>
      </w:r>
      <w:r w:rsidRPr="00B5759B">
        <w:rPr>
          <w:rFonts w:ascii="Times New Roman" w:hAnsi="宋体" w:hint="eastAsia"/>
        </w:rPr>
        <w:t>公司人均年营业收入增速降低，达到</w:t>
      </w:r>
      <w:r>
        <w:rPr>
          <w:rFonts w:ascii="Times New Roman" w:hAnsi="Times New Roman"/>
        </w:rPr>
        <w:t>43.2</w:t>
      </w:r>
      <w:r w:rsidRPr="00B5759B">
        <w:rPr>
          <w:rFonts w:ascii="Times New Roman" w:hAnsi="宋体" w:hint="eastAsia"/>
        </w:rPr>
        <w:t>万元</w:t>
      </w:r>
      <w:r w:rsidRPr="00B5759B">
        <w:rPr>
          <w:rFonts w:ascii="Times New Roman" w:hAnsi="Times New Roman"/>
        </w:rPr>
        <w:t>/</w:t>
      </w:r>
      <w:r w:rsidRPr="00B5759B">
        <w:rPr>
          <w:rFonts w:ascii="Times New Roman" w:hAnsi="宋体" w:hint="eastAsia"/>
        </w:rPr>
        <w:t>年。尽管媒体传播业务仍是</w:t>
      </w:r>
      <w:r w:rsidRPr="00B5759B">
        <w:rPr>
          <w:rFonts w:ascii="Times New Roman" w:hAnsi="Times New Roman"/>
        </w:rPr>
        <w:t>TOP</w:t>
      </w:r>
      <w:r w:rsidRPr="00B5759B">
        <w:rPr>
          <w:rFonts w:ascii="Times New Roman" w:hAnsi="宋体" w:hint="eastAsia"/>
        </w:rPr>
        <w:t>公司的主营业务，绝大多数公司</w:t>
      </w:r>
      <w:proofErr w:type="gramStart"/>
      <w:r w:rsidRPr="00B5759B">
        <w:rPr>
          <w:rFonts w:ascii="Times New Roman" w:hAnsi="宋体" w:hint="eastAsia"/>
        </w:rPr>
        <w:t>含传播</w:t>
      </w:r>
      <w:proofErr w:type="gramEnd"/>
      <w:r w:rsidRPr="00B5759B">
        <w:rPr>
          <w:rFonts w:ascii="Times New Roman" w:hAnsi="宋体" w:hint="eastAsia"/>
        </w:rPr>
        <w:t>代理和媒体执行业务，但顾问咨询及网络公关的业务比重逐步增加。</w:t>
      </w:r>
    </w:p>
    <w:p w:rsidR="007C06C0" w:rsidRPr="00B5759B" w:rsidRDefault="007C06C0" w:rsidP="00886838">
      <w:pPr>
        <w:numPr>
          <w:ilvl w:val="0"/>
          <w:numId w:val="1"/>
        </w:numPr>
        <w:spacing w:beforeLines="50" w:afterLines="50" w:line="276" w:lineRule="auto"/>
        <w:rPr>
          <w:rFonts w:ascii="Times New Roman" w:hAnsi="Times New Roman"/>
          <w:b/>
          <w:bCs/>
        </w:rPr>
      </w:pPr>
      <w:r w:rsidRPr="00B5759B">
        <w:rPr>
          <w:rFonts w:ascii="Times New Roman" w:hAnsi="宋体" w:hint="eastAsia"/>
        </w:rPr>
        <w:t>签约客户数和日常代理客户比重稳定发展，分别达到</w:t>
      </w:r>
      <w:r w:rsidRPr="00B5759B">
        <w:rPr>
          <w:rFonts w:ascii="Times New Roman" w:hAnsi="Times New Roman"/>
        </w:rPr>
        <w:t>47</w:t>
      </w:r>
      <w:r w:rsidRPr="00B5759B">
        <w:rPr>
          <w:rFonts w:ascii="Times New Roman" w:hAnsi="宋体" w:hint="eastAsia"/>
        </w:rPr>
        <w:t>个和</w:t>
      </w:r>
      <w:r w:rsidRPr="00B5759B">
        <w:rPr>
          <w:rFonts w:ascii="Times New Roman" w:hAnsi="Times New Roman"/>
        </w:rPr>
        <w:t>7</w:t>
      </w:r>
      <w:r>
        <w:rPr>
          <w:rFonts w:ascii="Times New Roman" w:hAnsi="Times New Roman"/>
        </w:rPr>
        <w:t>5</w:t>
      </w:r>
      <w:r w:rsidRPr="00B5759B">
        <w:rPr>
          <w:rFonts w:ascii="Times New Roman" w:hAnsi="Times New Roman"/>
        </w:rPr>
        <w:t>%</w:t>
      </w:r>
      <w:r>
        <w:rPr>
          <w:rFonts w:ascii="Times New Roman" w:hAnsi="宋体" w:hint="eastAsia"/>
        </w:rPr>
        <w:t>，</w:t>
      </w:r>
      <w:r w:rsidRPr="00B5759B">
        <w:rPr>
          <w:rFonts w:ascii="Times New Roman" w:hAnsi="宋体" w:hint="eastAsia"/>
        </w:rPr>
        <w:t>外资客户比重则上年度的</w:t>
      </w:r>
      <w:r w:rsidRPr="00B5759B">
        <w:rPr>
          <w:rFonts w:ascii="Times New Roman" w:hAnsi="Times New Roman"/>
        </w:rPr>
        <w:t>50%</w:t>
      </w:r>
      <w:r w:rsidRPr="00B5759B">
        <w:rPr>
          <w:rFonts w:ascii="Times New Roman" w:hAnsi="宋体" w:hint="eastAsia"/>
        </w:rPr>
        <w:t>上升为</w:t>
      </w:r>
      <w:r w:rsidRPr="00B5759B">
        <w:rPr>
          <w:rFonts w:ascii="Times New Roman" w:hAnsi="Times New Roman"/>
        </w:rPr>
        <w:t>56%</w:t>
      </w:r>
      <w:r w:rsidRPr="00B5759B">
        <w:rPr>
          <w:rFonts w:ascii="Times New Roman" w:hAnsi="宋体" w:hint="eastAsia"/>
        </w:rPr>
        <w:t>，连续签约客户数</w:t>
      </w:r>
      <w:r>
        <w:rPr>
          <w:rFonts w:ascii="Times New Roman" w:hAnsi="宋体" w:hint="eastAsia"/>
        </w:rPr>
        <w:t>达</w:t>
      </w:r>
      <w:r w:rsidRPr="00B5759B">
        <w:rPr>
          <w:rFonts w:ascii="Times New Roman" w:hAnsi="宋体" w:hint="eastAsia"/>
        </w:rPr>
        <w:t>到</w:t>
      </w:r>
      <w:r w:rsidRPr="00B5759B">
        <w:rPr>
          <w:rFonts w:ascii="Times New Roman" w:hAnsi="Times New Roman"/>
        </w:rPr>
        <w:t>38.2</w:t>
      </w:r>
      <w:r w:rsidRPr="00B5759B">
        <w:rPr>
          <w:rFonts w:ascii="Times New Roman" w:hAnsi="宋体" w:hint="eastAsia"/>
        </w:rPr>
        <w:t>个，战略客户数</w:t>
      </w:r>
      <w:r w:rsidRPr="00B5759B">
        <w:rPr>
          <w:rFonts w:ascii="Times New Roman" w:hAnsi="Times New Roman"/>
        </w:rPr>
        <w:t>15.5</w:t>
      </w:r>
      <w:r w:rsidRPr="00B5759B">
        <w:rPr>
          <w:rFonts w:ascii="Times New Roman" w:hAnsi="宋体" w:hint="eastAsia"/>
        </w:rPr>
        <w:t>个。</w:t>
      </w:r>
    </w:p>
    <w:p w:rsidR="007C06C0" w:rsidRPr="00B5759B" w:rsidRDefault="007C06C0" w:rsidP="00886838">
      <w:pPr>
        <w:numPr>
          <w:ilvl w:val="0"/>
          <w:numId w:val="1"/>
        </w:numPr>
        <w:spacing w:beforeLines="50" w:afterLines="50" w:line="276" w:lineRule="auto"/>
        <w:rPr>
          <w:rFonts w:ascii="Times New Roman" w:hAnsi="Times New Roman"/>
        </w:rPr>
      </w:pPr>
      <w:bookmarkStart w:id="12" w:name="OLE_LINK11"/>
      <w:bookmarkStart w:id="13" w:name="OLE_LINK12"/>
      <w:r w:rsidRPr="00B5759B">
        <w:rPr>
          <w:rFonts w:ascii="Times New Roman" w:hAnsi="宋体" w:hint="eastAsia"/>
        </w:rPr>
        <w:t>在国家鼓励发展文化产业的政策背景及行业综合发展的背景下，依靠活动代理和执行为主要业务的公司比重降低，但具有核心竞争力的公司依然</w:t>
      </w:r>
      <w:r>
        <w:rPr>
          <w:rFonts w:ascii="Times New Roman" w:hAnsi="宋体" w:hint="eastAsia"/>
        </w:rPr>
        <w:t>保持稳定发展</w:t>
      </w:r>
      <w:r w:rsidRPr="00B5759B">
        <w:rPr>
          <w:rFonts w:ascii="Times New Roman" w:hAnsi="宋体" w:hint="eastAsia"/>
        </w:rPr>
        <w:t>。</w:t>
      </w:r>
    </w:p>
    <w:bookmarkEnd w:id="12"/>
    <w:bookmarkEnd w:id="13"/>
    <w:p w:rsidR="007C06C0" w:rsidRPr="00B5759B" w:rsidRDefault="007C06C0" w:rsidP="00886838">
      <w:pPr>
        <w:numPr>
          <w:ilvl w:val="0"/>
          <w:numId w:val="1"/>
        </w:numPr>
        <w:spacing w:beforeLines="50" w:afterLines="50" w:line="276" w:lineRule="auto"/>
        <w:rPr>
          <w:rFonts w:ascii="Times New Roman" w:hAnsi="Times New Roman"/>
        </w:rPr>
      </w:pPr>
      <w:r w:rsidRPr="00B5759B">
        <w:rPr>
          <w:rFonts w:ascii="Times New Roman" w:hAnsi="宋体" w:hint="eastAsia"/>
        </w:rPr>
        <w:t>网络公关业务仍旧沿着健康快速的轨道发展。微博、</w:t>
      </w:r>
      <w:proofErr w:type="gramStart"/>
      <w:r w:rsidRPr="00B5759B">
        <w:rPr>
          <w:rFonts w:ascii="Times New Roman" w:hAnsi="宋体" w:hint="eastAsia"/>
        </w:rPr>
        <w:t>微信等</w:t>
      </w:r>
      <w:proofErr w:type="gramEnd"/>
      <w:r w:rsidRPr="00B5759B">
        <w:rPr>
          <w:rFonts w:ascii="Times New Roman" w:hAnsi="宋体" w:hint="eastAsia"/>
        </w:rPr>
        <w:t>社会化媒体的兴起，增加了网络公关的传播手段，使网络公关业务扩张</w:t>
      </w:r>
      <w:r>
        <w:rPr>
          <w:rFonts w:ascii="Times New Roman" w:hAnsi="宋体" w:hint="eastAsia"/>
        </w:rPr>
        <w:t>地</w:t>
      </w:r>
      <w:r w:rsidRPr="00B5759B">
        <w:rPr>
          <w:rFonts w:ascii="Times New Roman" w:hAnsi="宋体" w:hint="eastAsia"/>
        </w:rPr>
        <w:t>更加迅速。</w:t>
      </w:r>
    </w:p>
    <w:p w:rsidR="007C06C0" w:rsidRPr="00B5759B" w:rsidRDefault="007C06C0" w:rsidP="00886838">
      <w:pPr>
        <w:numPr>
          <w:ilvl w:val="0"/>
          <w:numId w:val="1"/>
        </w:numPr>
        <w:spacing w:beforeLines="50" w:afterLines="50" w:line="276" w:lineRule="auto"/>
        <w:rPr>
          <w:rFonts w:ascii="Times New Roman" w:hAnsi="Times New Roman"/>
        </w:rPr>
      </w:pPr>
      <w:r w:rsidRPr="00B5759B">
        <w:rPr>
          <w:rFonts w:ascii="Times New Roman" w:hAnsi="宋体" w:hint="eastAsia"/>
        </w:rPr>
        <w:t>政府关系、</w:t>
      </w:r>
      <w:r w:rsidRPr="00B5759B">
        <w:rPr>
          <w:rFonts w:ascii="Times New Roman" w:hAnsi="Times New Roman"/>
        </w:rPr>
        <w:t>CSR</w:t>
      </w:r>
      <w:r w:rsidRPr="00B5759B">
        <w:rPr>
          <w:rFonts w:ascii="Times New Roman" w:hAnsi="宋体" w:hint="eastAsia"/>
        </w:rPr>
        <w:t>项目、城市营销业务</w:t>
      </w:r>
      <w:bookmarkStart w:id="14" w:name="OLE_LINK13"/>
      <w:bookmarkStart w:id="15" w:name="OLE_LINK14"/>
      <w:r w:rsidRPr="00B5759B">
        <w:rPr>
          <w:rFonts w:ascii="Times New Roman" w:hAnsi="宋体" w:hint="eastAsia"/>
        </w:rPr>
        <w:t>仍然保持较快发展势头</w:t>
      </w:r>
      <w:bookmarkEnd w:id="14"/>
      <w:bookmarkEnd w:id="15"/>
      <w:r w:rsidRPr="00B5759B">
        <w:rPr>
          <w:rFonts w:ascii="Times New Roman" w:hAnsi="宋体" w:hint="eastAsia"/>
        </w:rPr>
        <w:t>。</w:t>
      </w:r>
    </w:p>
    <w:p w:rsidR="007C06C0" w:rsidRPr="00B5759B" w:rsidRDefault="007C06C0" w:rsidP="00886838">
      <w:pPr>
        <w:spacing w:beforeLines="50" w:afterLines="50" w:line="276" w:lineRule="auto"/>
        <w:rPr>
          <w:rFonts w:ascii="Times New Roman" w:hAnsi="Times New Roman"/>
          <w:b/>
          <w:bCs/>
        </w:rPr>
      </w:pPr>
      <w:r w:rsidRPr="00B5759B">
        <w:rPr>
          <w:rFonts w:ascii="Times New Roman" w:hAnsi="宋体" w:hint="eastAsia"/>
          <w:b/>
          <w:bCs/>
        </w:rPr>
        <w:t>运营管理：</w:t>
      </w:r>
    </w:p>
    <w:p w:rsidR="007C06C0" w:rsidRPr="00B5759B" w:rsidRDefault="007C06C0" w:rsidP="00886838">
      <w:pPr>
        <w:numPr>
          <w:ilvl w:val="0"/>
          <w:numId w:val="1"/>
        </w:numPr>
        <w:spacing w:beforeLines="50" w:afterLines="50" w:line="276" w:lineRule="auto"/>
        <w:rPr>
          <w:rFonts w:ascii="Times New Roman" w:hAnsi="Times New Roman"/>
        </w:rPr>
      </w:pPr>
      <w:r w:rsidRPr="00B5759B">
        <w:rPr>
          <w:rFonts w:ascii="Times New Roman" w:hAnsi="宋体" w:hint="eastAsia"/>
          <w:bCs/>
          <w:noProof/>
        </w:rPr>
        <w:t>年平均员工人数由上年的</w:t>
      </w:r>
      <w:r w:rsidRPr="00B5759B">
        <w:rPr>
          <w:rFonts w:ascii="Times New Roman" w:hAnsi="Times New Roman"/>
          <w:bCs/>
          <w:noProof/>
        </w:rPr>
        <w:t>304.6</w:t>
      </w:r>
      <w:r w:rsidRPr="00B5759B">
        <w:rPr>
          <w:rFonts w:ascii="Times New Roman" w:hAnsi="宋体" w:hint="eastAsia"/>
          <w:bCs/>
          <w:noProof/>
        </w:rPr>
        <w:t>人增加到</w:t>
      </w:r>
      <w:r>
        <w:rPr>
          <w:rFonts w:ascii="Times New Roman" w:hAnsi="Times New Roman"/>
          <w:bCs/>
          <w:noProof/>
        </w:rPr>
        <w:t>319</w:t>
      </w:r>
      <w:r w:rsidRPr="00B5759B">
        <w:rPr>
          <w:rFonts w:ascii="Times New Roman" w:hAnsi="宋体" w:hint="eastAsia"/>
          <w:bCs/>
          <w:noProof/>
        </w:rPr>
        <w:t>人，增加</w:t>
      </w:r>
      <w:r>
        <w:rPr>
          <w:rFonts w:ascii="Times New Roman" w:hAnsi="Times New Roman"/>
          <w:bCs/>
          <w:noProof/>
        </w:rPr>
        <w:t>14.4</w:t>
      </w:r>
      <w:r w:rsidRPr="00B5759B">
        <w:rPr>
          <w:rFonts w:ascii="Times New Roman" w:hAnsi="宋体" w:hint="eastAsia"/>
          <w:bCs/>
          <w:noProof/>
        </w:rPr>
        <w:t>人；</w:t>
      </w:r>
      <w:r w:rsidRPr="00B5759B">
        <w:rPr>
          <w:rFonts w:ascii="Times New Roman" w:hAnsi="宋体" w:hint="eastAsia"/>
        </w:rPr>
        <w:t>管理团队平均人数由</w:t>
      </w:r>
      <w:r w:rsidRPr="00B5759B">
        <w:rPr>
          <w:rFonts w:ascii="Times New Roman" w:hAnsi="Times New Roman"/>
        </w:rPr>
        <w:t>41.7</w:t>
      </w:r>
      <w:r w:rsidRPr="00B5759B">
        <w:rPr>
          <w:rFonts w:ascii="Times New Roman" w:hAnsi="宋体" w:hint="eastAsia"/>
        </w:rPr>
        <w:t>人下降到</w:t>
      </w:r>
      <w:r>
        <w:rPr>
          <w:rFonts w:ascii="Times New Roman" w:hAnsi="Times New Roman"/>
        </w:rPr>
        <w:t>39</w:t>
      </w:r>
      <w:r w:rsidRPr="00B5759B">
        <w:rPr>
          <w:rFonts w:ascii="Times New Roman" w:hAnsi="宋体" w:hint="eastAsia"/>
        </w:rPr>
        <w:t>人，管理效率持续下降。</w:t>
      </w:r>
    </w:p>
    <w:p w:rsidR="007C06C0" w:rsidRPr="00B5759B" w:rsidRDefault="007C06C0" w:rsidP="00886838">
      <w:pPr>
        <w:numPr>
          <w:ilvl w:val="0"/>
          <w:numId w:val="1"/>
        </w:numPr>
        <w:spacing w:beforeLines="50" w:afterLines="50" w:line="276" w:lineRule="auto"/>
        <w:rPr>
          <w:rFonts w:ascii="Times New Roman" w:hAnsi="Times New Roman"/>
        </w:rPr>
      </w:pPr>
      <w:bookmarkStart w:id="16" w:name="OLE_LINK15"/>
      <w:bookmarkStart w:id="17" w:name="OLE_LINK16"/>
      <w:r w:rsidRPr="00B5759B">
        <w:rPr>
          <w:rFonts w:ascii="Times New Roman" w:hAnsi="宋体" w:hint="eastAsia"/>
        </w:rPr>
        <w:t>女性雇员继续保持</w:t>
      </w:r>
      <w:r w:rsidRPr="00B5759B">
        <w:rPr>
          <w:rFonts w:ascii="Times New Roman" w:hAnsi="Times New Roman"/>
        </w:rPr>
        <w:t>60</w:t>
      </w:r>
      <w:r w:rsidRPr="00B5759B">
        <w:rPr>
          <w:rFonts w:ascii="Times New Roman" w:hAnsi="宋体" w:hint="eastAsia"/>
        </w:rPr>
        <w:t>％以上的比重（达到</w:t>
      </w:r>
      <w:r w:rsidRPr="00B5759B">
        <w:rPr>
          <w:rFonts w:ascii="Times New Roman" w:hAnsi="Times New Roman"/>
        </w:rPr>
        <w:t>6</w:t>
      </w:r>
      <w:r>
        <w:rPr>
          <w:rFonts w:ascii="Times New Roman" w:hAnsi="Times New Roman"/>
        </w:rPr>
        <w:t>0.8</w:t>
      </w:r>
      <w:r w:rsidRPr="00B5759B">
        <w:rPr>
          <w:rFonts w:ascii="Times New Roman" w:hAnsi="Times New Roman"/>
        </w:rPr>
        <w:t>%</w:t>
      </w:r>
      <w:r w:rsidRPr="00B5759B">
        <w:rPr>
          <w:rFonts w:ascii="Times New Roman" w:hAnsi="宋体" w:hint="eastAsia"/>
        </w:rPr>
        <w:t>），职业平均年龄维持在</w:t>
      </w:r>
      <w:r>
        <w:rPr>
          <w:rFonts w:ascii="Times New Roman" w:hAnsi="Times New Roman"/>
        </w:rPr>
        <w:t>28.6</w:t>
      </w:r>
      <w:r w:rsidRPr="00B5759B">
        <w:rPr>
          <w:rFonts w:ascii="Times New Roman" w:hAnsi="宋体" w:hint="eastAsia"/>
        </w:rPr>
        <w:t>岁左右；平均留任时间为</w:t>
      </w:r>
      <w:r w:rsidRPr="00B5759B">
        <w:rPr>
          <w:rFonts w:ascii="Times New Roman" w:hAnsi="Times New Roman"/>
        </w:rPr>
        <w:t>2.7</w:t>
      </w:r>
      <w:r w:rsidRPr="00B5759B">
        <w:rPr>
          <w:rFonts w:ascii="Times New Roman" w:hAnsi="宋体" w:hint="eastAsia"/>
        </w:rPr>
        <w:t>年（人员流动率达到</w:t>
      </w:r>
      <w:r w:rsidRPr="00B5759B">
        <w:rPr>
          <w:rFonts w:ascii="Times New Roman" w:hAnsi="Times New Roman"/>
        </w:rPr>
        <w:t>19.6%</w:t>
      </w:r>
      <w:r w:rsidRPr="00B5759B">
        <w:rPr>
          <w:rFonts w:ascii="Times New Roman" w:hAnsi="宋体" w:hint="eastAsia"/>
        </w:rPr>
        <w:t>），周平均工作时数</w:t>
      </w:r>
      <w:r w:rsidRPr="00B5759B">
        <w:rPr>
          <w:rFonts w:ascii="Times New Roman" w:hAnsi="Times New Roman"/>
        </w:rPr>
        <w:t>41.</w:t>
      </w:r>
      <w:r>
        <w:rPr>
          <w:rFonts w:ascii="Times New Roman" w:hAnsi="Times New Roman"/>
        </w:rPr>
        <w:t>7</w:t>
      </w:r>
      <w:r w:rsidRPr="00B5759B">
        <w:rPr>
          <w:rFonts w:ascii="Times New Roman" w:hAnsi="宋体" w:hint="eastAsia"/>
        </w:rPr>
        <w:t>小时。</w:t>
      </w:r>
    </w:p>
    <w:bookmarkEnd w:id="16"/>
    <w:bookmarkEnd w:id="17"/>
    <w:p w:rsidR="007C06C0" w:rsidRPr="00B5759B" w:rsidRDefault="007C06C0" w:rsidP="00886838">
      <w:pPr>
        <w:numPr>
          <w:ilvl w:val="0"/>
          <w:numId w:val="1"/>
        </w:numPr>
        <w:spacing w:beforeLines="50" w:afterLines="50" w:line="276" w:lineRule="auto"/>
        <w:rPr>
          <w:rFonts w:ascii="Times New Roman" w:hAnsi="Times New Roman"/>
        </w:rPr>
      </w:pPr>
      <w:r w:rsidRPr="00B5759B">
        <w:rPr>
          <w:rFonts w:ascii="Times New Roman" w:hAnsi="宋体" w:hint="eastAsia"/>
        </w:rPr>
        <w:t>年人均培训时数</w:t>
      </w:r>
      <w:r w:rsidRPr="00B5759B">
        <w:rPr>
          <w:rFonts w:ascii="Times New Roman" w:hAnsi="Times New Roman"/>
        </w:rPr>
        <w:t>70.4</w:t>
      </w:r>
      <w:r w:rsidRPr="00B5759B">
        <w:rPr>
          <w:rFonts w:ascii="Times New Roman" w:hAnsi="宋体" w:hint="eastAsia"/>
        </w:rPr>
        <w:t>（增加</w:t>
      </w:r>
      <w:r w:rsidRPr="00B5759B">
        <w:rPr>
          <w:rFonts w:ascii="Times New Roman" w:hAnsi="Times New Roman"/>
        </w:rPr>
        <w:t>10.1</w:t>
      </w:r>
      <w:r w:rsidRPr="00B5759B">
        <w:rPr>
          <w:rFonts w:ascii="Times New Roman" w:hAnsi="宋体" w:hint="eastAsia"/>
        </w:rPr>
        <w:t>小时），年培训预算超过</w:t>
      </w:r>
      <w:r w:rsidRPr="00B5759B">
        <w:rPr>
          <w:rFonts w:ascii="Times New Roman" w:hAnsi="Times New Roman"/>
        </w:rPr>
        <w:t>50</w:t>
      </w:r>
      <w:r w:rsidRPr="00B5759B">
        <w:rPr>
          <w:rFonts w:ascii="Times New Roman" w:hAnsi="宋体" w:hint="eastAsia"/>
        </w:rPr>
        <w:t>万元，主要培训集中于专业技能、业务认知、岗位技能和业务管理等四个方面，一般通过内部业务交流、部门岗位培训和公司课程训练来解决。</w:t>
      </w:r>
    </w:p>
    <w:p w:rsidR="007C06C0" w:rsidRPr="00B5759B" w:rsidRDefault="007C06C0" w:rsidP="00886838">
      <w:pPr>
        <w:numPr>
          <w:ilvl w:val="0"/>
          <w:numId w:val="1"/>
        </w:numPr>
        <w:spacing w:beforeLines="50" w:afterLines="50" w:line="276" w:lineRule="auto"/>
        <w:rPr>
          <w:rFonts w:ascii="Times New Roman" w:hAnsi="Times New Roman"/>
        </w:rPr>
      </w:pPr>
      <w:r w:rsidRPr="00B5759B">
        <w:rPr>
          <w:rFonts w:ascii="Times New Roman" w:hAnsi="宋体" w:hint="eastAsia"/>
        </w:rPr>
        <w:t>年平均工资水平为</w:t>
      </w:r>
      <w:r w:rsidRPr="00B5759B">
        <w:rPr>
          <w:rFonts w:ascii="Times New Roman" w:hAnsi="Times New Roman"/>
        </w:rPr>
        <w:t>944</w:t>
      </w:r>
      <w:r>
        <w:rPr>
          <w:rFonts w:ascii="Times New Roman" w:hAnsi="Times New Roman"/>
        </w:rPr>
        <w:t>2</w:t>
      </w:r>
      <w:r w:rsidRPr="00B5759B">
        <w:rPr>
          <w:rFonts w:ascii="Times New Roman" w:hAnsi="宋体" w:hint="eastAsia"/>
        </w:rPr>
        <w:t>元</w:t>
      </w:r>
      <w:r w:rsidRPr="00B5759B">
        <w:rPr>
          <w:rFonts w:ascii="Times New Roman" w:hAnsi="Times New Roman"/>
        </w:rPr>
        <w:t>/</w:t>
      </w:r>
      <w:r w:rsidRPr="00B5759B">
        <w:rPr>
          <w:rFonts w:ascii="Times New Roman" w:hAnsi="宋体" w:hint="eastAsia"/>
        </w:rPr>
        <w:t>月（</w:t>
      </w:r>
      <w:r w:rsidRPr="00B5759B">
        <w:rPr>
          <w:rFonts w:ascii="Times New Roman" w:hAnsi="Times New Roman"/>
        </w:rPr>
        <w:t>2011</w:t>
      </w:r>
      <w:r w:rsidRPr="00B5759B">
        <w:rPr>
          <w:rFonts w:ascii="Times New Roman" w:hAnsi="宋体" w:hint="eastAsia"/>
        </w:rPr>
        <w:t>年</w:t>
      </w:r>
      <w:r w:rsidRPr="00B5759B">
        <w:rPr>
          <w:rFonts w:ascii="Times New Roman" w:hAnsi="Times New Roman"/>
        </w:rPr>
        <w:t>9408.7</w:t>
      </w:r>
      <w:r w:rsidRPr="00B5759B">
        <w:rPr>
          <w:rFonts w:ascii="Times New Roman" w:hAnsi="宋体" w:hint="eastAsia"/>
        </w:rPr>
        <w:t>元，增长</w:t>
      </w:r>
      <w:r w:rsidRPr="00B5759B">
        <w:rPr>
          <w:rFonts w:ascii="Times New Roman" w:hAnsi="Times New Roman"/>
        </w:rPr>
        <w:t>0.</w:t>
      </w:r>
      <w:r>
        <w:rPr>
          <w:rFonts w:ascii="Times New Roman" w:hAnsi="Times New Roman"/>
        </w:rPr>
        <w:t>35</w:t>
      </w:r>
      <w:r w:rsidRPr="00B5759B">
        <w:rPr>
          <w:rFonts w:ascii="Times New Roman" w:hAnsi="Times New Roman"/>
        </w:rPr>
        <w:t>%</w:t>
      </w:r>
      <w:r w:rsidRPr="00B5759B">
        <w:rPr>
          <w:rFonts w:ascii="Times New Roman" w:hAnsi="宋体" w:hint="eastAsia"/>
        </w:rPr>
        <w:t>）。客户经理平均月薪</w:t>
      </w:r>
      <w:r w:rsidRPr="00B5759B">
        <w:rPr>
          <w:rFonts w:ascii="Times New Roman" w:hAnsi="Times New Roman"/>
        </w:rPr>
        <w:t>11390</w:t>
      </w:r>
      <w:r w:rsidRPr="00B5759B">
        <w:rPr>
          <w:rFonts w:ascii="Times New Roman" w:hAnsi="宋体" w:hint="eastAsia"/>
        </w:rPr>
        <w:t>元（</w:t>
      </w:r>
      <w:r w:rsidRPr="00B5759B">
        <w:rPr>
          <w:rFonts w:ascii="Times New Roman" w:hAnsi="Times New Roman"/>
        </w:rPr>
        <w:t>2011</w:t>
      </w:r>
      <w:r w:rsidRPr="00B5759B">
        <w:rPr>
          <w:rFonts w:ascii="Times New Roman" w:hAnsi="宋体" w:hint="eastAsia"/>
        </w:rPr>
        <w:t>年</w:t>
      </w:r>
      <w:r w:rsidRPr="00B5759B">
        <w:rPr>
          <w:rFonts w:ascii="Times New Roman" w:hAnsi="Times New Roman"/>
        </w:rPr>
        <w:t>10821</w:t>
      </w:r>
      <w:r w:rsidRPr="00B5759B">
        <w:rPr>
          <w:rFonts w:ascii="Times New Roman" w:hAnsi="宋体" w:hint="eastAsia"/>
        </w:rPr>
        <w:t>元，增长</w:t>
      </w:r>
      <w:r w:rsidRPr="00B5759B">
        <w:rPr>
          <w:rFonts w:ascii="Times New Roman" w:hAnsi="Times New Roman"/>
        </w:rPr>
        <w:t>5.3%</w:t>
      </w:r>
      <w:r w:rsidRPr="00B5759B">
        <w:rPr>
          <w:rFonts w:ascii="Times New Roman" w:hAnsi="宋体" w:hint="eastAsia"/>
        </w:rPr>
        <w:t>），大学生转正平均月薪</w:t>
      </w:r>
      <w:r w:rsidRPr="00B5759B">
        <w:rPr>
          <w:rFonts w:ascii="Times New Roman" w:hAnsi="Times New Roman"/>
        </w:rPr>
        <w:t>3835</w:t>
      </w:r>
      <w:r w:rsidRPr="00B5759B">
        <w:rPr>
          <w:rFonts w:ascii="Times New Roman" w:hAnsi="宋体" w:hint="eastAsia"/>
        </w:rPr>
        <w:t>元（</w:t>
      </w:r>
      <w:r w:rsidRPr="00B5759B">
        <w:rPr>
          <w:rFonts w:ascii="Times New Roman" w:hAnsi="Times New Roman"/>
        </w:rPr>
        <w:t>2011</w:t>
      </w:r>
      <w:r w:rsidRPr="00B5759B">
        <w:rPr>
          <w:rFonts w:ascii="Times New Roman" w:hAnsi="宋体" w:hint="eastAsia"/>
        </w:rPr>
        <w:t>年</w:t>
      </w:r>
      <w:r w:rsidRPr="00B5759B">
        <w:rPr>
          <w:rFonts w:ascii="Times New Roman" w:hAnsi="Times New Roman"/>
        </w:rPr>
        <w:t>3665</w:t>
      </w:r>
      <w:r w:rsidRPr="00B5759B">
        <w:rPr>
          <w:rFonts w:ascii="Times New Roman" w:hAnsi="宋体" w:hint="eastAsia"/>
        </w:rPr>
        <w:t>元，增长</w:t>
      </w:r>
      <w:r w:rsidRPr="00B5759B">
        <w:rPr>
          <w:rFonts w:ascii="Times New Roman" w:hAnsi="Times New Roman"/>
        </w:rPr>
        <w:t>4.6%</w:t>
      </w:r>
      <w:r w:rsidRPr="00B5759B">
        <w:rPr>
          <w:rFonts w:ascii="Times New Roman" w:hAnsi="宋体" w:hint="eastAsia"/>
        </w:rPr>
        <w:t>）。三项数值均有增幅，行业人员成本持续增高。</w:t>
      </w:r>
    </w:p>
    <w:p w:rsidR="007C06C0" w:rsidRDefault="007C06C0" w:rsidP="00886838">
      <w:pPr>
        <w:numPr>
          <w:ilvl w:val="0"/>
          <w:numId w:val="1"/>
        </w:numPr>
        <w:spacing w:beforeLines="50" w:afterLines="50" w:line="276" w:lineRule="auto"/>
        <w:rPr>
          <w:rFonts w:ascii="Times New Roman" w:hAnsi="Times New Roman"/>
        </w:rPr>
      </w:pPr>
      <w:bookmarkStart w:id="18" w:name="OLE_LINK17"/>
      <w:bookmarkStart w:id="19" w:name="OLE_LINK18"/>
      <w:r w:rsidRPr="00B5759B">
        <w:rPr>
          <w:rFonts w:ascii="Times New Roman" w:hAnsi="Times New Roman"/>
        </w:rPr>
        <w:t>TOP</w:t>
      </w:r>
      <w:r>
        <w:rPr>
          <w:rFonts w:ascii="Times New Roman" w:hAnsi="Times New Roman"/>
        </w:rPr>
        <w:t>25</w:t>
      </w:r>
      <w:r w:rsidRPr="00B5759B">
        <w:rPr>
          <w:rFonts w:ascii="Times New Roman" w:hAnsi="宋体" w:hint="eastAsia"/>
        </w:rPr>
        <w:t>公司更加重视公司</w:t>
      </w:r>
      <w:r w:rsidRPr="00B5759B">
        <w:rPr>
          <w:rFonts w:ascii="Times New Roman" w:hAnsi="Times New Roman"/>
        </w:rPr>
        <w:t>CSR</w:t>
      </w:r>
      <w:r w:rsidRPr="00B5759B">
        <w:rPr>
          <w:rFonts w:ascii="Times New Roman" w:hAnsi="宋体" w:hint="eastAsia"/>
        </w:rPr>
        <w:t>建设，同时积极参与行业及社会公益事业。</w:t>
      </w:r>
      <w:r w:rsidRPr="00B5759B">
        <w:rPr>
          <w:rFonts w:ascii="Times New Roman" w:hAnsi="Times New Roman"/>
        </w:rPr>
        <w:t>CIPRA</w:t>
      </w:r>
      <w:r w:rsidRPr="00B5759B">
        <w:rPr>
          <w:rFonts w:ascii="Times New Roman" w:hAnsi="宋体" w:hint="eastAsia"/>
        </w:rPr>
        <w:t>鼓励各公司积极发挥自身优势，积极参与行业</w:t>
      </w:r>
      <w:r w:rsidRPr="00B5759B">
        <w:rPr>
          <w:rFonts w:ascii="Times New Roman" w:hAnsi="Times New Roman"/>
        </w:rPr>
        <w:t>CSR</w:t>
      </w:r>
      <w:r w:rsidRPr="00B5759B">
        <w:rPr>
          <w:rFonts w:ascii="Times New Roman" w:hAnsi="宋体" w:hint="eastAsia"/>
        </w:rPr>
        <w:t>建设，不断提高公共关系行业社会认知度，为促进行业可持续发展、促进社会经济的和谐做出贡献。</w:t>
      </w:r>
      <w:bookmarkEnd w:id="18"/>
      <w:bookmarkEnd w:id="19"/>
      <w:r w:rsidRPr="00B5759B">
        <w:rPr>
          <w:rFonts w:ascii="Times New Roman" w:hAnsi="Times New Roman"/>
        </w:rPr>
        <w:t xml:space="preserve"> </w:t>
      </w:r>
    </w:p>
    <w:p w:rsidR="003F636E" w:rsidRPr="00B5759B" w:rsidRDefault="003F636E" w:rsidP="00886838">
      <w:pPr>
        <w:spacing w:beforeLines="50" w:afterLines="50" w:line="276" w:lineRule="auto"/>
        <w:ind w:left="840"/>
        <w:rPr>
          <w:rFonts w:ascii="Times New Roman" w:hAnsi="Times New Roman"/>
        </w:rPr>
      </w:pPr>
    </w:p>
    <w:p w:rsidR="007C06C0" w:rsidRPr="00B5759B" w:rsidRDefault="007C06C0" w:rsidP="003F636E">
      <w:pPr>
        <w:spacing w:line="276" w:lineRule="auto"/>
        <w:jc w:val="center"/>
        <w:rPr>
          <w:rFonts w:ascii="Times New Roman" w:hAnsi="Times New Roman"/>
          <w:szCs w:val="21"/>
        </w:rPr>
      </w:pPr>
      <w:bookmarkStart w:id="20" w:name="OLE_LINK19"/>
      <w:bookmarkStart w:id="21" w:name="OLE_LINK20"/>
      <w:r w:rsidRPr="00B5759B">
        <w:rPr>
          <w:rFonts w:ascii="Times New Roman" w:eastAsia="华文中宋" w:hAnsi="华文中宋" w:hint="eastAsia"/>
          <w:b/>
          <w:bCs/>
          <w:sz w:val="44"/>
        </w:rPr>
        <w:lastRenderedPageBreak/>
        <w:t>国际性公司研究</w:t>
      </w:r>
    </w:p>
    <w:p w:rsidR="007C06C0" w:rsidRPr="00B5759B" w:rsidRDefault="007C06C0" w:rsidP="00886838">
      <w:pPr>
        <w:numPr>
          <w:ilvl w:val="0"/>
          <w:numId w:val="1"/>
        </w:numPr>
        <w:spacing w:beforeLines="50" w:afterLines="50" w:line="276" w:lineRule="auto"/>
        <w:rPr>
          <w:rFonts w:ascii="Times New Roman" w:hAnsi="Times New Roman"/>
        </w:rPr>
      </w:pPr>
      <w:r>
        <w:rPr>
          <w:rFonts w:ascii="Times New Roman" w:hAnsi="宋体" w:hint="eastAsia"/>
        </w:rPr>
        <w:t>国际性公司人员流失率低，从成</w:t>
      </w:r>
      <w:r w:rsidRPr="003D70F3">
        <w:rPr>
          <w:rFonts w:ascii="Times New Roman" w:hAnsi="宋体" w:hint="eastAsia"/>
        </w:rPr>
        <w:t>本控制角度来看相对较好。</w:t>
      </w:r>
    </w:p>
    <w:p w:rsidR="007C06C0" w:rsidRPr="00B5759B" w:rsidRDefault="007C06C0" w:rsidP="00886838">
      <w:pPr>
        <w:numPr>
          <w:ilvl w:val="0"/>
          <w:numId w:val="1"/>
        </w:numPr>
        <w:spacing w:beforeLines="50" w:afterLines="50" w:line="276" w:lineRule="auto"/>
        <w:rPr>
          <w:rFonts w:ascii="Times New Roman" w:hAnsi="Times New Roman"/>
        </w:rPr>
      </w:pPr>
      <w:r w:rsidRPr="00B5759B">
        <w:rPr>
          <w:rFonts w:ascii="Times New Roman" w:hAnsi="宋体" w:hint="eastAsia"/>
        </w:rPr>
        <w:t>顾问咨询服务仍是国际性公司的主营业务。</w:t>
      </w:r>
    </w:p>
    <w:p w:rsidR="007C06C0" w:rsidRPr="00B5759B" w:rsidRDefault="007C06C0" w:rsidP="00886838">
      <w:pPr>
        <w:numPr>
          <w:ilvl w:val="0"/>
          <w:numId w:val="1"/>
        </w:numPr>
        <w:spacing w:beforeLines="50" w:afterLines="50" w:line="276" w:lineRule="auto"/>
        <w:rPr>
          <w:rFonts w:ascii="Times New Roman" w:hAnsi="Times New Roman"/>
        </w:rPr>
      </w:pPr>
      <w:r w:rsidRPr="00B5759B">
        <w:rPr>
          <w:rFonts w:ascii="Times New Roman" w:hAnsi="宋体" w:hint="eastAsia"/>
        </w:rPr>
        <w:t>年签约客户数及连续签约客户数稳定发展，均在</w:t>
      </w:r>
      <w:r w:rsidRPr="00B5759B">
        <w:rPr>
          <w:rFonts w:ascii="Times New Roman" w:hAnsi="Times New Roman"/>
        </w:rPr>
        <w:t>50</w:t>
      </w:r>
      <w:r w:rsidRPr="00B5759B">
        <w:rPr>
          <w:rFonts w:ascii="Times New Roman" w:hAnsi="宋体" w:hint="eastAsia"/>
        </w:rPr>
        <w:t>家以上，外资客户比重达到</w:t>
      </w:r>
      <w:r w:rsidRPr="00B5759B">
        <w:rPr>
          <w:rFonts w:ascii="Times New Roman" w:hAnsi="Times New Roman"/>
        </w:rPr>
        <w:t>87%</w:t>
      </w:r>
      <w:r w:rsidRPr="00B5759B">
        <w:rPr>
          <w:rFonts w:ascii="Times New Roman" w:hAnsi="宋体" w:hint="eastAsia"/>
        </w:rPr>
        <w:t>。</w:t>
      </w:r>
    </w:p>
    <w:p w:rsidR="007C06C0" w:rsidRPr="00BC367B" w:rsidRDefault="007C06C0" w:rsidP="00886838">
      <w:pPr>
        <w:numPr>
          <w:ilvl w:val="0"/>
          <w:numId w:val="1"/>
        </w:numPr>
        <w:spacing w:beforeLines="50" w:afterLines="50" w:line="276" w:lineRule="auto"/>
        <w:rPr>
          <w:rFonts w:ascii="Times New Roman" w:hAnsi="Times New Roman"/>
        </w:rPr>
      </w:pPr>
      <w:r w:rsidRPr="00B5759B">
        <w:rPr>
          <w:rFonts w:ascii="Times New Roman" w:hAnsi="宋体" w:hint="eastAsia"/>
        </w:rPr>
        <w:t>国际性公司网络公关客户的主要需求为舆情监测、危机处理、产品推广及企业传播业务。</w:t>
      </w:r>
    </w:p>
    <w:p w:rsidR="007C06C0" w:rsidRPr="00B5759B" w:rsidRDefault="007C06C0" w:rsidP="003F636E">
      <w:pPr>
        <w:spacing w:after="240" w:line="276" w:lineRule="auto"/>
        <w:jc w:val="center"/>
        <w:rPr>
          <w:rFonts w:ascii="Times New Roman" w:eastAsia="华文中宋" w:hAnsi="Times New Roman"/>
          <w:b/>
          <w:bCs/>
          <w:sz w:val="44"/>
        </w:rPr>
      </w:pPr>
      <w:bookmarkStart w:id="22" w:name="OLE_LINK21"/>
      <w:bookmarkStart w:id="23" w:name="OLE_LINK22"/>
      <w:bookmarkEnd w:id="20"/>
      <w:bookmarkEnd w:id="21"/>
      <w:r w:rsidRPr="00B5759B">
        <w:rPr>
          <w:rFonts w:ascii="Times New Roman" w:eastAsia="华文中宋" w:hAnsi="华文中宋" w:hint="eastAsia"/>
          <w:b/>
          <w:bCs/>
          <w:sz w:val="44"/>
        </w:rPr>
        <w:t>最具成长性公司研究</w:t>
      </w:r>
    </w:p>
    <w:bookmarkEnd w:id="22"/>
    <w:bookmarkEnd w:id="23"/>
    <w:p w:rsidR="007C06C0" w:rsidRPr="00B5759B" w:rsidRDefault="007C06C0" w:rsidP="00886838">
      <w:pPr>
        <w:spacing w:beforeLines="50" w:afterLines="50" w:line="276" w:lineRule="auto"/>
        <w:rPr>
          <w:rFonts w:ascii="Times New Roman" w:hAnsi="Times New Roman"/>
          <w:b/>
          <w:bCs/>
        </w:rPr>
      </w:pPr>
      <w:r w:rsidRPr="00B5759B">
        <w:rPr>
          <w:rFonts w:ascii="Times New Roman" w:hAnsi="宋体" w:hint="eastAsia"/>
          <w:b/>
          <w:bCs/>
        </w:rPr>
        <w:t>营业情况：</w:t>
      </w:r>
    </w:p>
    <w:p w:rsidR="007C06C0" w:rsidRPr="00B5759B" w:rsidRDefault="007C06C0" w:rsidP="00886838">
      <w:pPr>
        <w:numPr>
          <w:ilvl w:val="0"/>
          <w:numId w:val="1"/>
        </w:numPr>
        <w:spacing w:beforeLines="50" w:afterLines="50" w:line="276" w:lineRule="auto"/>
        <w:rPr>
          <w:rFonts w:ascii="Times New Roman" w:hAnsi="Times New Roman"/>
        </w:rPr>
      </w:pPr>
      <w:r w:rsidRPr="00B5759B">
        <w:rPr>
          <w:rFonts w:ascii="Times New Roman" w:hAnsi="宋体" w:hint="eastAsia"/>
        </w:rPr>
        <w:t>最具成长性公司平均年营业收入</w:t>
      </w:r>
      <w:r w:rsidR="006B076A">
        <w:rPr>
          <w:rFonts w:ascii="Times New Roman" w:hAnsi="Times New Roman" w:hint="eastAsia"/>
        </w:rPr>
        <w:t>3569</w:t>
      </w:r>
      <w:r w:rsidRPr="00B5759B">
        <w:rPr>
          <w:rFonts w:ascii="Times New Roman" w:hAnsi="Times New Roman"/>
        </w:rPr>
        <w:t>.9</w:t>
      </w:r>
      <w:r w:rsidRPr="00B5759B">
        <w:rPr>
          <w:rFonts w:ascii="Times New Roman" w:hAnsi="宋体" w:hint="eastAsia"/>
        </w:rPr>
        <w:t>万元，平均年营业额</w:t>
      </w:r>
      <w:r w:rsidR="006B076A">
        <w:rPr>
          <w:rFonts w:ascii="Times New Roman" w:hAnsi="Times New Roman" w:hint="eastAsia"/>
        </w:rPr>
        <w:t>8183</w:t>
      </w:r>
      <w:r w:rsidR="00636C81">
        <w:rPr>
          <w:rFonts w:ascii="Times New Roman" w:hAnsi="Times New Roman" w:hint="eastAsia"/>
        </w:rPr>
        <w:t>.6</w:t>
      </w:r>
      <w:r w:rsidRPr="00B5759B">
        <w:rPr>
          <w:rFonts w:ascii="Times New Roman" w:hAnsi="宋体" w:hint="eastAsia"/>
        </w:rPr>
        <w:t>万</w:t>
      </w:r>
      <w:r w:rsidRPr="00B5759B">
        <w:rPr>
          <w:rFonts w:ascii="Times New Roman" w:hint="eastAsia"/>
          <w:bCs/>
        </w:rPr>
        <w:t>元，</w:t>
      </w:r>
      <w:r w:rsidRPr="00B5759B">
        <w:rPr>
          <w:rFonts w:ascii="Times New Roman" w:hAnsi="宋体" w:hint="eastAsia"/>
        </w:rPr>
        <w:t>人均年营业收入与</w:t>
      </w:r>
      <w:r w:rsidRPr="00B5759B">
        <w:rPr>
          <w:rFonts w:ascii="Times New Roman" w:hAnsi="Times New Roman"/>
        </w:rPr>
        <w:t>TOP</w:t>
      </w:r>
      <w:r w:rsidRPr="00B5759B">
        <w:rPr>
          <w:rFonts w:ascii="Times New Roman" w:hAnsi="宋体" w:hint="eastAsia"/>
        </w:rPr>
        <w:t>公司相比略</w:t>
      </w:r>
      <w:r>
        <w:rPr>
          <w:rFonts w:ascii="Times New Roman" w:hAnsi="宋体" w:hint="eastAsia"/>
        </w:rPr>
        <w:t>高</w:t>
      </w:r>
      <w:r w:rsidRPr="00B5759B">
        <w:rPr>
          <w:rFonts w:ascii="Times New Roman" w:hAnsi="宋体" w:hint="eastAsia"/>
        </w:rPr>
        <w:t>，为</w:t>
      </w:r>
      <w:r w:rsidRPr="00B5759B">
        <w:rPr>
          <w:rFonts w:ascii="Times New Roman" w:hAnsi="Times New Roman"/>
        </w:rPr>
        <w:t>45.7</w:t>
      </w:r>
      <w:r w:rsidRPr="00B5759B">
        <w:rPr>
          <w:rFonts w:ascii="Times New Roman" w:hAnsi="宋体" w:hint="eastAsia"/>
        </w:rPr>
        <w:t>万元</w:t>
      </w:r>
      <w:r w:rsidRPr="00B5759B">
        <w:rPr>
          <w:rFonts w:ascii="Times New Roman" w:hAnsi="Times New Roman"/>
        </w:rPr>
        <w:t>/</w:t>
      </w:r>
      <w:r w:rsidRPr="00B5759B">
        <w:rPr>
          <w:rFonts w:ascii="Times New Roman" w:hAnsi="宋体" w:hint="eastAsia"/>
        </w:rPr>
        <w:t>年。</w:t>
      </w:r>
    </w:p>
    <w:p w:rsidR="007C06C0" w:rsidRPr="00B5759B" w:rsidRDefault="007C06C0" w:rsidP="00886838">
      <w:pPr>
        <w:numPr>
          <w:ilvl w:val="0"/>
          <w:numId w:val="1"/>
        </w:numPr>
        <w:spacing w:beforeLines="50" w:afterLines="50" w:line="276" w:lineRule="auto"/>
        <w:rPr>
          <w:rFonts w:ascii="Times New Roman" w:hAnsi="Times New Roman"/>
        </w:rPr>
      </w:pPr>
      <w:r w:rsidRPr="00B5759B">
        <w:rPr>
          <w:rFonts w:ascii="Times New Roman" w:hAnsi="宋体" w:hint="eastAsia"/>
        </w:rPr>
        <w:t>签约客户数和日常代理客户比重分别占</w:t>
      </w:r>
      <w:r w:rsidRPr="00B5759B">
        <w:rPr>
          <w:rFonts w:ascii="Times New Roman" w:hAnsi="Times New Roman"/>
        </w:rPr>
        <w:t>18.8%</w:t>
      </w:r>
      <w:r w:rsidRPr="00B5759B">
        <w:rPr>
          <w:rFonts w:ascii="Times New Roman" w:hAnsi="宋体" w:hint="eastAsia"/>
        </w:rPr>
        <w:t>和</w:t>
      </w:r>
      <w:r w:rsidRPr="00B5759B">
        <w:rPr>
          <w:rFonts w:ascii="Times New Roman" w:hAnsi="Times New Roman"/>
        </w:rPr>
        <w:t>77%</w:t>
      </w:r>
      <w:r w:rsidRPr="00B5759B">
        <w:rPr>
          <w:rFonts w:ascii="Times New Roman" w:hAnsi="宋体" w:hint="eastAsia"/>
        </w:rPr>
        <w:t>。</w:t>
      </w:r>
    </w:p>
    <w:p w:rsidR="007C06C0" w:rsidRPr="00B5759B" w:rsidRDefault="007C06C0" w:rsidP="00886838">
      <w:pPr>
        <w:numPr>
          <w:ilvl w:val="0"/>
          <w:numId w:val="1"/>
        </w:numPr>
        <w:spacing w:beforeLines="50" w:afterLines="50" w:line="276" w:lineRule="auto"/>
        <w:rPr>
          <w:rFonts w:ascii="Times New Roman" w:hAnsi="Times New Roman"/>
        </w:rPr>
      </w:pPr>
      <w:bookmarkStart w:id="24" w:name="OLE_LINK23"/>
      <w:bookmarkStart w:id="25" w:name="OLE_LINK24"/>
      <w:r w:rsidRPr="00B5759B">
        <w:rPr>
          <w:rFonts w:ascii="Times New Roman" w:hAnsi="宋体" w:hint="eastAsia"/>
        </w:rPr>
        <w:t>网络公关方面，主要提供舆情监测、企业传播、口碑营销及整合传播的业务。</w:t>
      </w:r>
    </w:p>
    <w:bookmarkEnd w:id="24"/>
    <w:bookmarkEnd w:id="25"/>
    <w:p w:rsidR="007C06C0" w:rsidRPr="00B5759B" w:rsidRDefault="007C06C0" w:rsidP="00886838">
      <w:pPr>
        <w:spacing w:beforeLines="50" w:afterLines="50" w:line="276" w:lineRule="auto"/>
        <w:rPr>
          <w:rFonts w:ascii="Times New Roman" w:hAnsi="Times New Roman"/>
          <w:b/>
          <w:bCs/>
        </w:rPr>
      </w:pPr>
      <w:r w:rsidRPr="00B5759B">
        <w:rPr>
          <w:rFonts w:ascii="Times New Roman" w:hAnsi="宋体" w:hint="eastAsia"/>
          <w:b/>
          <w:bCs/>
        </w:rPr>
        <w:t>运营管理：</w:t>
      </w:r>
    </w:p>
    <w:p w:rsidR="006B076A" w:rsidRPr="00B5759B" w:rsidRDefault="006B076A" w:rsidP="00886838">
      <w:pPr>
        <w:pStyle w:val="a5"/>
        <w:numPr>
          <w:ilvl w:val="0"/>
          <w:numId w:val="2"/>
        </w:numPr>
        <w:spacing w:beforeLines="50" w:afterLines="50" w:line="276" w:lineRule="auto"/>
        <w:ind w:firstLineChars="0"/>
        <w:rPr>
          <w:rFonts w:ascii="Times New Roman" w:hAnsi="Times New Roman"/>
        </w:rPr>
      </w:pPr>
      <w:r w:rsidRPr="00B5759B">
        <w:rPr>
          <w:rFonts w:ascii="Times New Roman" w:hAnsi="宋体" w:hint="eastAsia"/>
        </w:rPr>
        <w:t>年平均员工数</w:t>
      </w:r>
      <w:r w:rsidRPr="00B5759B">
        <w:rPr>
          <w:rFonts w:ascii="Times New Roman" w:hAnsi="Times New Roman"/>
        </w:rPr>
        <w:t>103</w:t>
      </w:r>
      <w:r w:rsidRPr="00B5759B">
        <w:rPr>
          <w:rFonts w:ascii="Times New Roman" w:hAnsi="宋体" w:hint="eastAsia"/>
        </w:rPr>
        <w:t>人，管理团队平均人数</w:t>
      </w:r>
      <w:r w:rsidRPr="00B5759B">
        <w:rPr>
          <w:rFonts w:ascii="Times New Roman" w:hAnsi="Times New Roman"/>
        </w:rPr>
        <w:t>23</w:t>
      </w:r>
      <w:r w:rsidRPr="00B5759B">
        <w:rPr>
          <w:rFonts w:ascii="Times New Roman" w:hAnsi="宋体" w:hint="eastAsia"/>
        </w:rPr>
        <w:t>人。</w:t>
      </w:r>
    </w:p>
    <w:p w:rsidR="006B076A" w:rsidRPr="00B5759B" w:rsidRDefault="006B076A" w:rsidP="00886838">
      <w:pPr>
        <w:numPr>
          <w:ilvl w:val="0"/>
          <w:numId w:val="2"/>
        </w:numPr>
        <w:spacing w:beforeLines="50" w:afterLines="50" w:line="276" w:lineRule="auto"/>
        <w:rPr>
          <w:rFonts w:ascii="Times New Roman" w:hAnsi="Times New Roman"/>
        </w:rPr>
      </w:pPr>
      <w:bookmarkStart w:id="26" w:name="OLE_LINK25"/>
      <w:bookmarkStart w:id="27" w:name="OLE_LINK26"/>
      <w:r w:rsidRPr="00B5759B">
        <w:rPr>
          <w:rFonts w:ascii="Times New Roman" w:hAnsi="宋体" w:hint="eastAsia"/>
        </w:rPr>
        <w:t>女性雇员</w:t>
      </w:r>
      <w:r w:rsidRPr="00B5759B">
        <w:rPr>
          <w:rFonts w:ascii="Times New Roman" w:hAnsi="Times New Roman"/>
        </w:rPr>
        <w:t>58%</w:t>
      </w:r>
      <w:r w:rsidRPr="00B5759B">
        <w:rPr>
          <w:rFonts w:ascii="Times New Roman" w:hAnsi="宋体" w:hint="eastAsia"/>
        </w:rPr>
        <w:t>，职业平均年龄维持在</w:t>
      </w:r>
      <w:r w:rsidRPr="00B5759B">
        <w:rPr>
          <w:rFonts w:ascii="Times New Roman" w:hAnsi="Times New Roman"/>
        </w:rPr>
        <w:t>28</w:t>
      </w:r>
      <w:r w:rsidRPr="00B5759B">
        <w:rPr>
          <w:rFonts w:ascii="Times New Roman" w:hAnsi="宋体" w:hint="eastAsia"/>
        </w:rPr>
        <w:t>岁左右；平均留任时间为</w:t>
      </w:r>
      <w:r w:rsidRPr="00B5759B">
        <w:rPr>
          <w:rFonts w:ascii="Times New Roman" w:hAnsi="Times New Roman"/>
        </w:rPr>
        <w:t>2.4</w:t>
      </w:r>
      <w:r w:rsidRPr="00B5759B">
        <w:rPr>
          <w:rFonts w:ascii="Times New Roman" w:hAnsi="宋体" w:hint="eastAsia"/>
        </w:rPr>
        <w:t>年（人员流动率达到</w:t>
      </w:r>
      <w:r w:rsidRPr="00B5759B">
        <w:rPr>
          <w:rFonts w:ascii="Times New Roman" w:hAnsi="Times New Roman"/>
        </w:rPr>
        <w:t>18%</w:t>
      </w:r>
      <w:r w:rsidRPr="00B5759B">
        <w:rPr>
          <w:rFonts w:ascii="Times New Roman" w:hAnsi="宋体" w:hint="eastAsia"/>
        </w:rPr>
        <w:t>），周平均工作时数</w:t>
      </w:r>
      <w:r w:rsidRPr="00B5759B">
        <w:rPr>
          <w:rFonts w:ascii="Times New Roman" w:hAnsi="Times New Roman"/>
        </w:rPr>
        <w:t>44</w:t>
      </w:r>
      <w:r w:rsidRPr="00B5759B">
        <w:rPr>
          <w:rFonts w:ascii="Times New Roman" w:hAnsi="宋体" w:hint="eastAsia"/>
        </w:rPr>
        <w:t>小时。</w:t>
      </w:r>
    </w:p>
    <w:bookmarkEnd w:id="26"/>
    <w:bookmarkEnd w:id="27"/>
    <w:p w:rsidR="006B076A" w:rsidRPr="00B5759B" w:rsidRDefault="006B076A" w:rsidP="00886838">
      <w:pPr>
        <w:numPr>
          <w:ilvl w:val="0"/>
          <w:numId w:val="2"/>
        </w:numPr>
        <w:spacing w:beforeLines="50" w:afterLines="50" w:line="276" w:lineRule="auto"/>
        <w:rPr>
          <w:rFonts w:ascii="Times New Roman" w:hAnsi="Times New Roman"/>
        </w:rPr>
      </w:pPr>
      <w:r w:rsidRPr="00B5759B">
        <w:rPr>
          <w:rFonts w:ascii="Times New Roman" w:hAnsi="宋体" w:hint="eastAsia"/>
        </w:rPr>
        <w:t>年人均培训时数</w:t>
      </w:r>
      <w:r w:rsidRPr="00B5759B">
        <w:rPr>
          <w:rFonts w:ascii="Times New Roman" w:hAnsi="Times New Roman"/>
        </w:rPr>
        <w:t>126</w:t>
      </w:r>
      <w:r w:rsidRPr="00B5759B">
        <w:rPr>
          <w:rFonts w:ascii="Times New Roman" w:hAnsi="宋体" w:hint="eastAsia"/>
        </w:rPr>
        <w:t>，年培训预算超过</w:t>
      </w:r>
      <w:r w:rsidRPr="00B5759B">
        <w:rPr>
          <w:rFonts w:ascii="Times New Roman" w:hAnsi="Times New Roman"/>
        </w:rPr>
        <w:t>18</w:t>
      </w:r>
      <w:r w:rsidRPr="00B5759B">
        <w:rPr>
          <w:rFonts w:ascii="Times New Roman" w:hAnsi="宋体" w:hint="eastAsia"/>
        </w:rPr>
        <w:t>万元，</w:t>
      </w:r>
      <w:bookmarkStart w:id="28" w:name="OLE_LINK29"/>
      <w:bookmarkStart w:id="29" w:name="OLE_LINK30"/>
      <w:r w:rsidRPr="00B5759B">
        <w:rPr>
          <w:rFonts w:ascii="Times New Roman" w:hAnsi="宋体" w:hint="eastAsia"/>
        </w:rPr>
        <w:t>主要培训集中于专业技能、业务认知、岗位技能和业务管理等四个方面，一般通过内部业务交流、部门岗位培训和公司课程训练来解决。</w:t>
      </w:r>
    </w:p>
    <w:bookmarkEnd w:id="28"/>
    <w:bookmarkEnd w:id="29"/>
    <w:p w:rsidR="006B076A" w:rsidRPr="00B5759B" w:rsidRDefault="006B076A" w:rsidP="00886838">
      <w:pPr>
        <w:pStyle w:val="a5"/>
        <w:numPr>
          <w:ilvl w:val="0"/>
          <w:numId w:val="2"/>
        </w:numPr>
        <w:spacing w:beforeLines="50" w:afterLines="50" w:line="276" w:lineRule="auto"/>
        <w:ind w:firstLineChars="0"/>
        <w:rPr>
          <w:rFonts w:ascii="Times New Roman" w:hAnsi="Times New Roman"/>
        </w:rPr>
      </w:pPr>
      <w:r w:rsidRPr="00B5759B">
        <w:rPr>
          <w:rFonts w:ascii="Times New Roman" w:hAnsi="宋体" w:hint="eastAsia"/>
        </w:rPr>
        <w:t>年平均工资水平为</w:t>
      </w:r>
      <w:r w:rsidRPr="00B5759B">
        <w:rPr>
          <w:rFonts w:ascii="Times New Roman" w:hAnsi="Times New Roman"/>
        </w:rPr>
        <w:t>6680</w:t>
      </w:r>
      <w:r w:rsidRPr="00B5759B">
        <w:rPr>
          <w:rFonts w:ascii="Times New Roman" w:hAnsi="宋体" w:hint="eastAsia"/>
        </w:rPr>
        <w:t>元</w:t>
      </w:r>
      <w:r w:rsidRPr="00B5759B">
        <w:rPr>
          <w:rFonts w:ascii="Times New Roman" w:hAnsi="Times New Roman"/>
        </w:rPr>
        <w:t>/</w:t>
      </w:r>
      <w:r w:rsidRPr="00B5759B">
        <w:rPr>
          <w:rFonts w:ascii="Times New Roman" w:hAnsi="宋体" w:hint="eastAsia"/>
        </w:rPr>
        <w:t>月，客户经理平均月薪</w:t>
      </w:r>
      <w:r w:rsidRPr="00B5759B">
        <w:rPr>
          <w:rFonts w:ascii="Times New Roman" w:hAnsi="Times New Roman"/>
        </w:rPr>
        <w:t>7600</w:t>
      </w:r>
      <w:r w:rsidRPr="00B5759B">
        <w:rPr>
          <w:rFonts w:ascii="Times New Roman" w:hAnsi="宋体" w:hint="eastAsia"/>
        </w:rPr>
        <w:t>元，大学生转正平均月薪</w:t>
      </w:r>
      <w:r w:rsidRPr="00B5759B">
        <w:rPr>
          <w:rFonts w:ascii="Times New Roman" w:hAnsi="Times New Roman"/>
        </w:rPr>
        <w:t>3250</w:t>
      </w:r>
      <w:r w:rsidRPr="00B5759B">
        <w:rPr>
          <w:rFonts w:ascii="Times New Roman" w:hAnsi="宋体" w:hint="eastAsia"/>
        </w:rPr>
        <w:t>元。</w:t>
      </w:r>
    </w:p>
    <w:p w:rsidR="007C06C0" w:rsidRPr="001A368E" w:rsidRDefault="007C06C0" w:rsidP="003F636E">
      <w:pPr>
        <w:spacing w:after="240" w:line="276" w:lineRule="auto"/>
        <w:jc w:val="center"/>
        <w:rPr>
          <w:rFonts w:ascii="宋体"/>
          <w:b/>
        </w:rPr>
      </w:pPr>
      <w:r>
        <w:rPr>
          <w:rFonts w:ascii="宋体"/>
          <w:b/>
        </w:rPr>
        <w:br w:type="page"/>
      </w:r>
      <w:r w:rsidRPr="001A368E">
        <w:rPr>
          <w:rFonts w:ascii="宋体" w:hAnsi="宋体"/>
          <w:b/>
        </w:rPr>
        <w:lastRenderedPageBreak/>
        <w:t>TOP</w:t>
      </w:r>
      <w:r>
        <w:rPr>
          <w:rFonts w:ascii="宋体" w:hAnsi="宋体"/>
          <w:b/>
        </w:rPr>
        <w:t>25</w:t>
      </w:r>
      <w:r w:rsidRPr="001A368E">
        <w:rPr>
          <w:rFonts w:ascii="宋体" w:hAnsi="宋体" w:hint="eastAsia"/>
          <w:b/>
        </w:rPr>
        <w:t>公司对照统计表</w:t>
      </w:r>
    </w:p>
    <w:tbl>
      <w:tblPr>
        <w:tblW w:w="8369" w:type="dxa"/>
        <w:tblCellSpacing w:w="0" w:type="dxa"/>
        <w:tblInd w:w="10" w:type="dxa"/>
        <w:tblLayout w:type="fixed"/>
        <w:tblCellMar>
          <w:left w:w="0" w:type="dxa"/>
          <w:right w:w="0" w:type="dxa"/>
        </w:tblCellMar>
        <w:tblLook w:val="0000"/>
      </w:tblPr>
      <w:tblGrid>
        <w:gridCol w:w="1805"/>
        <w:gridCol w:w="2311"/>
        <w:gridCol w:w="2126"/>
        <w:gridCol w:w="2127"/>
      </w:tblGrid>
      <w:tr w:rsidR="007C06C0" w:rsidRPr="00743B68" w:rsidTr="00EF67FC">
        <w:trPr>
          <w:trHeight w:val="284"/>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79646"/>
            <w:vAlign w:val="center"/>
          </w:tcPr>
          <w:p w:rsidR="007C06C0" w:rsidRPr="00743B68" w:rsidRDefault="007C06C0" w:rsidP="003F636E">
            <w:pPr>
              <w:jc w:val="right"/>
              <w:rPr>
                <w:rFonts w:ascii="宋体"/>
                <w:b/>
                <w:bCs/>
              </w:rPr>
            </w:pPr>
            <w:bookmarkStart w:id="30" w:name="_Hlk353971089"/>
            <w:r w:rsidRPr="00743B68">
              <w:rPr>
                <w:rFonts w:ascii="宋体" w:hAnsi="宋体" w:hint="eastAsia"/>
                <w:b/>
                <w:bCs/>
              </w:rPr>
              <w:t xml:space="preserve">　</w:t>
            </w:r>
          </w:p>
        </w:tc>
        <w:tc>
          <w:tcPr>
            <w:tcW w:w="2311" w:type="dxa"/>
            <w:tcBorders>
              <w:top w:val="single" w:sz="6" w:space="0" w:color="000000"/>
              <w:left w:val="single" w:sz="6" w:space="0" w:color="000000"/>
              <w:bottom w:val="single" w:sz="6" w:space="0" w:color="000000"/>
              <w:right w:val="single" w:sz="6" w:space="0" w:color="000000"/>
            </w:tcBorders>
            <w:shd w:val="clear" w:color="auto" w:fill="F79646"/>
            <w:vAlign w:val="center"/>
          </w:tcPr>
          <w:p w:rsidR="007C06C0" w:rsidRPr="00743B68" w:rsidRDefault="007C06C0" w:rsidP="003F636E">
            <w:pPr>
              <w:jc w:val="center"/>
              <w:rPr>
                <w:rFonts w:ascii="黑体" w:eastAsia="黑体"/>
                <w:bCs/>
              </w:rPr>
            </w:pPr>
            <w:r w:rsidRPr="00743B68">
              <w:rPr>
                <w:rFonts w:ascii="黑体" w:eastAsia="黑体"/>
                <w:color w:val="000000"/>
                <w:sz w:val="22"/>
              </w:rPr>
              <w:t>TOP25</w:t>
            </w:r>
          </w:p>
          <w:p w:rsidR="007C06C0" w:rsidRPr="00743B68" w:rsidRDefault="007C06C0" w:rsidP="003F636E">
            <w:pPr>
              <w:jc w:val="center"/>
              <w:rPr>
                <w:rFonts w:ascii="黑体" w:eastAsia="黑体"/>
                <w:bCs/>
              </w:rPr>
            </w:pPr>
            <w:r w:rsidRPr="00743B68">
              <w:rPr>
                <w:rFonts w:ascii="黑体" w:eastAsia="黑体"/>
                <w:bCs/>
              </w:rPr>
              <w:t>2012</w:t>
            </w:r>
            <w:r w:rsidRPr="00743B68">
              <w:rPr>
                <w:rFonts w:ascii="黑体" w:eastAsia="黑体" w:hint="eastAsia"/>
                <w:bCs/>
              </w:rPr>
              <w:t>（均值）</w:t>
            </w:r>
          </w:p>
        </w:tc>
        <w:tc>
          <w:tcPr>
            <w:tcW w:w="2126" w:type="dxa"/>
            <w:tcBorders>
              <w:top w:val="single" w:sz="6" w:space="0" w:color="000000"/>
              <w:left w:val="single" w:sz="6" w:space="0" w:color="000000"/>
              <w:bottom w:val="single" w:sz="6" w:space="0" w:color="000000"/>
              <w:right w:val="single" w:sz="6" w:space="0" w:color="000000"/>
            </w:tcBorders>
            <w:shd w:val="clear" w:color="auto" w:fill="F79646"/>
            <w:vAlign w:val="center"/>
          </w:tcPr>
          <w:p w:rsidR="007C06C0" w:rsidRPr="00743B68" w:rsidRDefault="007C06C0" w:rsidP="003F636E">
            <w:pPr>
              <w:jc w:val="center"/>
              <w:rPr>
                <w:rFonts w:ascii="黑体" w:eastAsia="黑体"/>
                <w:bCs/>
              </w:rPr>
            </w:pPr>
            <w:r w:rsidRPr="00743B68">
              <w:rPr>
                <w:rFonts w:ascii="黑体" w:eastAsia="黑体"/>
                <w:bCs/>
              </w:rPr>
              <w:t>TOP20</w:t>
            </w:r>
          </w:p>
          <w:p w:rsidR="007C06C0" w:rsidRPr="00743B68" w:rsidRDefault="007C06C0" w:rsidP="003F636E">
            <w:pPr>
              <w:jc w:val="center"/>
              <w:rPr>
                <w:rFonts w:ascii="黑体" w:eastAsia="黑体"/>
                <w:bCs/>
              </w:rPr>
            </w:pPr>
            <w:r w:rsidRPr="00743B68">
              <w:rPr>
                <w:rFonts w:ascii="黑体" w:eastAsia="黑体"/>
                <w:bCs/>
              </w:rPr>
              <w:t>2011</w:t>
            </w:r>
            <w:r w:rsidRPr="00743B68">
              <w:rPr>
                <w:rFonts w:ascii="黑体" w:eastAsia="黑体" w:hint="eastAsia"/>
                <w:bCs/>
              </w:rPr>
              <w:t>（均值）</w:t>
            </w:r>
          </w:p>
        </w:tc>
        <w:tc>
          <w:tcPr>
            <w:tcW w:w="2127" w:type="dxa"/>
            <w:tcBorders>
              <w:top w:val="single" w:sz="6" w:space="0" w:color="000000"/>
              <w:left w:val="single" w:sz="6" w:space="0" w:color="000000"/>
              <w:bottom w:val="single" w:sz="6" w:space="0" w:color="000000"/>
              <w:right w:val="single" w:sz="6" w:space="0" w:color="000000"/>
            </w:tcBorders>
            <w:shd w:val="clear" w:color="auto" w:fill="F79646"/>
            <w:vAlign w:val="center"/>
          </w:tcPr>
          <w:p w:rsidR="007C06C0" w:rsidRPr="00743B68" w:rsidRDefault="007C06C0" w:rsidP="003F636E">
            <w:pPr>
              <w:jc w:val="center"/>
              <w:rPr>
                <w:rFonts w:ascii="黑体" w:eastAsia="黑体"/>
                <w:bCs/>
              </w:rPr>
            </w:pPr>
            <w:r w:rsidRPr="00743B68">
              <w:rPr>
                <w:rFonts w:ascii="黑体" w:eastAsia="黑体"/>
                <w:bCs/>
              </w:rPr>
              <w:t>TOP</w:t>
            </w:r>
            <w:r w:rsidRPr="00743B68">
              <w:rPr>
                <w:rFonts w:ascii="黑体" w:eastAsia="黑体" w:hint="eastAsia"/>
                <w:bCs/>
              </w:rPr>
              <w:t>公司</w:t>
            </w:r>
          </w:p>
          <w:p w:rsidR="007C06C0" w:rsidRPr="00743B68" w:rsidRDefault="007C06C0" w:rsidP="003F636E">
            <w:pPr>
              <w:jc w:val="center"/>
              <w:rPr>
                <w:rFonts w:ascii="黑体" w:eastAsia="黑体"/>
                <w:bCs/>
              </w:rPr>
            </w:pPr>
            <w:r w:rsidRPr="00743B68">
              <w:rPr>
                <w:rFonts w:ascii="黑体" w:eastAsia="黑体" w:hint="eastAsia"/>
                <w:bCs/>
              </w:rPr>
              <w:t>变量</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年人均营收</w:t>
            </w:r>
            <w:r w:rsidRPr="00743B68">
              <w:rPr>
                <w:rFonts w:ascii="黑体" w:eastAsia="黑体" w:hAnsi="宋体" w:hint="eastAsia"/>
                <w:bCs/>
                <w:sz w:val="18"/>
                <w:szCs w:val="18"/>
              </w:rPr>
              <w:t>（万元）</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43.2</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39.7</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3.5</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年签约客户数</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47</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38</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9</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签约客户比重</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Pr>
                <w:rFonts w:ascii="黑体" w:eastAsia="黑体"/>
                <w:bCs/>
                <w:sz w:val="24"/>
              </w:rPr>
              <w:t>7</w:t>
            </w:r>
            <w:r>
              <w:rPr>
                <w:rFonts w:ascii="黑体" w:eastAsia="黑体" w:hint="eastAsia"/>
                <w:bCs/>
                <w:sz w:val="24"/>
              </w:rPr>
              <w:t>5</w:t>
            </w:r>
            <w:r w:rsidRPr="00743B68">
              <w:rPr>
                <w:rFonts w:ascii="黑体" w:eastAsia="黑体"/>
                <w:bCs/>
                <w:sz w:val="24"/>
              </w:rPr>
              <w:t>%</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66%</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Pr>
                <w:rFonts w:ascii="黑体" w:eastAsia="黑体" w:hint="eastAsia"/>
                <w:bCs/>
              </w:rPr>
              <w:t>9</w:t>
            </w:r>
            <w:r w:rsidRPr="00743B68">
              <w:rPr>
                <w:rFonts w:ascii="黑体" w:eastAsia="黑体"/>
                <w:bCs/>
              </w:rPr>
              <w:t>%</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外资客户比重</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56%</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50%</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6%</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年平均员工人数</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319</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304.6</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14.4</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管理团队人数</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39</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41.7</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-2.7</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女性雇员比例</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60.8%</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62%</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-1.2%</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员工平均年龄</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28.6</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28.9</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-0.3</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人员流动率（</w:t>
            </w:r>
            <w:r w:rsidRPr="00743B68">
              <w:rPr>
                <w:rFonts w:ascii="黑体" w:eastAsia="黑体" w:hAnsi="宋体"/>
                <w:bCs/>
              </w:rPr>
              <w:t>%</w:t>
            </w:r>
            <w:r w:rsidRPr="00743B68">
              <w:rPr>
                <w:rFonts w:ascii="黑体" w:eastAsia="黑体" w:hAnsi="宋体" w:hint="eastAsia"/>
                <w:bCs/>
              </w:rPr>
              <w:t>）</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19.6%</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21%</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-1.4%</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bookmarkStart w:id="31" w:name="OLE_LINK31"/>
            <w:bookmarkStart w:id="32" w:name="OLE_LINK32"/>
            <w:bookmarkStart w:id="33" w:name="_Hlk353971326"/>
            <w:r w:rsidRPr="00743B68">
              <w:rPr>
                <w:rFonts w:ascii="黑体" w:eastAsia="黑体" w:hAnsi="宋体" w:hint="eastAsia"/>
                <w:bCs/>
              </w:rPr>
              <w:t>平均留任时间（</w:t>
            </w:r>
            <w:r w:rsidRPr="00743B68">
              <w:rPr>
                <w:rFonts w:ascii="黑体" w:eastAsia="黑体" w:hAnsi="宋体"/>
                <w:bCs/>
              </w:rPr>
              <w:t>Y</w:t>
            </w:r>
            <w:r w:rsidRPr="00743B68">
              <w:rPr>
                <w:rFonts w:ascii="黑体" w:eastAsia="黑体" w:hAnsi="宋体" w:hint="eastAsia"/>
                <w:bCs/>
              </w:rPr>
              <w:t>）</w:t>
            </w:r>
            <w:bookmarkEnd w:id="31"/>
            <w:bookmarkEnd w:id="32"/>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2.7</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2.8</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-0.1</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周劳动强度（</w:t>
            </w:r>
            <w:r w:rsidRPr="00743B68">
              <w:rPr>
                <w:rFonts w:ascii="黑体" w:eastAsia="黑体" w:hAnsi="宋体"/>
                <w:bCs/>
              </w:rPr>
              <w:t>H</w:t>
            </w:r>
            <w:r w:rsidRPr="00743B68">
              <w:rPr>
                <w:rFonts w:ascii="黑体" w:eastAsia="黑体" w:hAnsi="宋体" w:hint="eastAsia"/>
                <w:bCs/>
              </w:rPr>
              <w:t>）</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41.7</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44.6</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-2.9</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年培训时间（</w:t>
            </w:r>
            <w:r w:rsidRPr="00743B68">
              <w:rPr>
                <w:rFonts w:ascii="黑体" w:eastAsia="黑体" w:hAnsi="宋体"/>
                <w:bCs/>
              </w:rPr>
              <w:t>H</w:t>
            </w:r>
            <w:r w:rsidRPr="00743B68">
              <w:rPr>
                <w:rFonts w:ascii="黑体" w:eastAsia="黑体" w:hAnsi="宋体" w:hint="eastAsia"/>
                <w:bCs/>
              </w:rPr>
              <w:t>）</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70.4</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60.3</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10.1</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平均工资</w:t>
            </w:r>
            <w:r w:rsidRPr="00743B68">
              <w:rPr>
                <w:rFonts w:ascii="黑体" w:eastAsia="黑体" w:hAnsi="宋体" w:hint="eastAsia"/>
                <w:bCs/>
                <w:sz w:val="18"/>
                <w:szCs w:val="18"/>
              </w:rPr>
              <w:t>（元</w:t>
            </w:r>
            <w:r w:rsidRPr="00743B68">
              <w:rPr>
                <w:rFonts w:ascii="黑体" w:eastAsia="黑体" w:hAnsi="宋体"/>
                <w:bCs/>
                <w:sz w:val="18"/>
                <w:szCs w:val="18"/>
              </w:rPr>
              <w:t>/</w:t>
            </w:r>
            <w:r w:rsidRPr="00743B68">
              <w:rPr>
                <w:rFonts w:ascii="黑体" w:eastAsia="黑体" w:hAnsi="宋体" w:hint="eastAsia"/>
                <w:bCs/>
                <w:sz w:val="18"/>
                <w:szCs w:val="18"/>
              </w:rPr>
              <w:t>月）</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9442</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sz w:val="24"/>
              </w:rPr>
            </w:pPr>
            <w:r w:rsidRPr="00743B68">
              <w:rPr>
                <w:rFonts w:ascii="黑体" w:eastAsia="黑体"/>
                <w:bCs/>
                <w:sz w:val="24"/>
              </w:rPr>
              <w:t>9408.7</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0.35%</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客户经理工资</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color w:val="000000"/>
                <w:sz w:val="24"/>
              </w:rPr>
            </w:pPr>
            <w:r w:rsidRPr="00743B68">
              <w:rPr>
                <w:rFonts w:ascii="黑体" w:eastAsia="黑体"/>
                <w:bCs/>
                <w:color w:val="000000"/>
                <w:sz w:val="24"/>
              </w:rPr>
              <w:t>11390</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color w:val="000000"/>
                <w:sz w:val="24"/>
              </w:rPr>
            </w:pPr>
            <w:r w:rsidRPr="00743B68">
              <w:rPr>
                <w:rFonts w:ascii="黑体" w:eastAsia="黑体"/>
                <w:bCs/>
                <w:color w:val="000000"/>
                <w:sz w:val="24"/>
              </w:rPr>
              <w:t>10821</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5.3%</w:t>
            </w:r>
          </w:p>
        </w:tc>
      </w:tr>
      <w:tr w:rsidR="003F636E" w:rsidRPr="00743B68" w:rsidTr="00EF67FC">
        <w:trPr>
          <w:trHeight w:hRule="exact" w:val="567"/>
          <w:tblCellSpacing w:w="0" w:type="dxa"/>
        </w:trPr>
        <w:tc>
          <w:tcPr>
            <w:tcW w:w="1805"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3F636E" w:rsidRPr="00743B68" w:rsidRDefault="003F636E" w:rsidP="00886838">
            <w:pPr>
              <w:spacing w:beforeLines="50" w:afterLines="50"/>
              <w:rPr>
                <w:rFonts w:ascii="黑体" w:eastAsia="黑体" w:hAnsi="宋体"/>
                <w:bCs/>
              </w:rPr>
            </w:pPr>
            <w:r w:rsidRPr="00743B68">
              <w:rPr>
                <w:rFonts w:ascii="黑体" w:eastAsia="黑体" w:hAnsi="宋体" w:hint="eastAsia"/>
                <w:bCs/>
              </w:rPr>
              <w:t>大学生转正工资</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color w:val="000000"/>
                <w:sz w:val="24"/>
              </w:rPr>
            </w:pPr>
            <w:r w:rsidRPr="00743B68">
              <w:rPr>
                <w:rFonts w:ascii="黑体" w:eastAsia="黑体"/>
                <w:bCs/>
                <w:color w:val="000000"/>
                <w:sz w:val="24"/>
              </w:rPr>
              <w:t>3835</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3F636E">
            <w:pPr>
              <w:jc w:val="center"/>
              <w:rPr>
                <w:rFonts w:ascii="黑体" w:eastAsia="黑体"/>
                <w:bCs/>
                <w:color w:val="000000"/>
                <w:sz w:val="24"/>
              </w:rPr>
            </w:pPr>
            <w:r w:rsidRPr="00743B68">
              <w:rPr>
                <w:rFonts w:ascii="黑体" w:eastAsia="黑体"/>
                <w:bCs/>
                <w:color w:val="000000"/>
                <w:sz w:val="24"/>
              </w:rPr>
              <w:t>3665</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F636E" w:rsidRPr="00743B68" w:rsidRDefault="003F636E" w:rsidP="00886838">
            <w:pPr>
              <w:spacing w:beforeLines="50" w:afterLines="50"/>
              <w:jc w:val="center"/>
              <w:rPr>
                <w:rFonts w:ascii="黑体" w:eastAsia="黑体"/>
                <w:bCs/>
              </w:rPr>
            </w:pPr>
            <w:r w:rsidRPr="00743B68">
              <w:rPr>
                <w:rFonts w:ascii="黑体" w:eastAsia="黑体"/>
                <w:bCs/>
              </w:rPr>
              <w:t>4.6%</w:t>
            </w:r>
          </w:p>
        </w:tc>
      </w:tr>
      <w:bookmarkEnd w:id="30"/>
      <w:bookmarkEnd w:id="33"/>
    </w:tbl>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7C06C0" w:rsidRDefault="007C06C0" w:rsidP="003F636E">
      <w:pPr>
        <w:rPr>
          <w:rFonts w:ascii="Times New Roman" w:hAnsi="Times New Roman"/>
          <w:szCs w:val="21"/>
        </w:rPr>
      </w:pPr>
    </w:p>
    <w:p w:rsidR="003F636E" w:rsidRDefault="003F636E" w:rsidP="003F636E">
      <w:pPr>
        <w:rPr>
          <w:rFonts w:ascii="Times New Roman" w:hAnsi="Times New Roman"/>
          <w:szCs w:val="21"/>
        </w:rPr>
      </w:pPr>
    </w:p>
    <w:p w:rsidR="003F636E" w:rsidRDefault="003F636E" w:rsidP="003F636E">
      <w:pPr>
        <w:rPr>
          <w:rFonts w:ascii="Times New Roman" w:hAnsi="Times New Roman"/>
          <w:szCs w:val="21"/>
        </w:rPr>
      </w:pPr>
    </w:p>
    <w:p w:rsidR="003F636E" w:rsidRDefault="003F636E" w:rsidP="003F636E">
      <w:pPr>
        <w:rPr>
          <w:rFonts w:ascii="Times New Roman" w:hAnsi="Times New Roman"/>
          <w:szCs w:val="21"/>
        </w:rPr>
      </w:pPr>
    </w:p>
    <w:p w:rsidR="003F636E" w:rsidRDefault="003F636E" w:rsidP="003F636E">
      <w:pPr>
        <w:rPr>
          <w:rFonts w:ascii="Times New Roman" w:hAnsi="Times New Roman"/>
          <w:szCs w:val="21"/>
        </w:rPr>
      </w:pPr>
    </w:p>
    <w:p w:rsidR="003F636E" w:rsidRDefault="003F636E" w:rsidP="003F636E">
      <w:pPr>
        <w:rPr>
          <w:rFonts w:ascii="Times New Roman" w:hAnsi="Times New Roman"/>
          <w:szCs w:val="21"/>
        </w:rPr>
      </w:pPr>
    </w:p>
    <w:p w:rsidR="007C06C0" w:rsidRDefault="007C06C0" w:rsidP="003F636E">
      <w:pPr>
        <w:rPr>
          <w:rFonts w:ascii="Times New Roman" w:hAnsi="Times New Roman"/>
          <w:szCs w:val="21"/>
        </w:rPr>
      </w:pPr>
    </w:p>
    <w:p w:rsidR="007C06C0" w:rsidRPr="003F636E" w:rsidRDefault="007C06C0" w:rsidP="003F636E">
      <w:pPr>
        <w:spacing w:after="240"/>
        <w:jc w:val="center"/>
        <w:rPr>
          <w:rFonts w:ascii="Times New Roman" w:eastAsia="华文中宋" w:hAnsi="华文中宋"/>
          <w:b/>
          <w:bCs/>
          <w:sz w:val="44"/>
        </w:rPr>
      </w:pPr>
      <w:r w:rsidRPr="003F636E">
        <w:rPr>
          <w:rFonts w:ascii="Times New Roman" w:eastAsia="华文中宋" w:hAnsi="华文中宋"/>
          <w:b/>
          <w:bCs/>
          <w:sz w:val="44"/>
        </w:rPr>
        <w:lastRenderedPageBreak/>
        <w:t>2012</w:t>
      </w:r>
      <w:r w:rsidRPr="003F636E">
        <w:rPr>
          <w:rFonts w:ascii="Times New Roman" w:eastAsia="华文中宋" w:hAnsi="华文中宋" w:hint="eastAsia"/>
          <w:b/>
          <w:bCs/>
          <w:sz w:val="44"/>
        </w:rPr>
        <w:t>年中国公共关系行业发展分析</w:t>
      </w:r>
    </w:p>
    <w:p w:rsidR="007C06C0" w:rsidRPr="003F636E" w:rsidRDefault="007C06C0" w:rsidP="003F636E">
      <w:pPr>
        <w:spacing w:line="276" w:lineRule="auto"/>
        <w:ind w:firstLineChars="200" w:firstLine="420"/>
        <w:rPr>
          <w:rFonts w:ascii="Times New Roman" w:eastAsiaTheme="minorEastAsia" w:hAnsi="Times New Roman"/>
          <w:szCs w:val="21"/>
        </w:rPr>
      </w:pPr>
      <w:r w:rsidRPr="003F636E">
        <w:rPr>
          <w:rFonts w:ascii="Times New Roman" w:eastAsiaTheme="minorEastAsia" w:hAnsi="Times New Roman"/>
          <w:szCs w:val="21"/>
        </w:rPr>
        <w:t>2012</w:t>
      </w:r>
      <w:r w:rsidRPr="003F636E">
        <w:rPr>
          <w:rFonts w:ascii="Times New Roman" w:eastAsiaTheme="minorEastAsia" w:hAnsiTheme="minorEastAsia"/>
          <w:szCs w:val="21"/>
        </w:rPr>
        <w:t>年，中国企业和机构对公共关系的需求继续增加，公关公司的专业化水平和服务品质进一步提升。在中国经济增长面临放缓的宏观情况下，中国公共关系市场</w:t>
      </w:r>
      <w:r w:rsidRPr="003F636E">
        <w:rPr>
          <w:rFonts w:ascii="Times New Roman" w:eastAsiaTheme="minorEastAsia" w:hAnsi="Times New Roman"/>
          <w:szCs w:val="21"/>
        </w:rPr>
        <w:t>2012</w:t>
      </w:r>
      <w:r w:rsidRPr="003F636E">
        <w:rPr>
          <w:rFonts w:ascii="Times New Roman" w:eastAsiaTheme="minorEastAsia" w:hAnsiTheme="minorEastAsia"/>
          <w:szCs w:val="21"/>
        </w:rPr>
        <w:t>年延续了其快速增长的发展势头，但增速有所放缓。相比其它行业，公共关系行业依旧是保持较快增长的行业。</w:t>
      </w:r>
    </w:p>
    <w:p w:rsidR="007C06C0" w:rsidRPr="003F636E" w:rsidRDefault="007C06C0" w:rsidP="00521440">
      <w:pPr>
        <w:spacing w:line="276" w:lineRule="auto"/>
        <w:ind w:firstLineChars="200" w:firstLine="422"/>
        <w:rPr>
          <w:rFonts w:ascii="Times New Roman" w:eastAsiaTheme="minorEastAsia" w:hAnsi="Times New Roman"/>
          <w:szCs w:val="21"/>
        </w:rPr>
      </w:pPr>
      <w:r w:rsidRPr="00521440">
        <w:rPr>
          <w:rFonts w:ascii="Times New Roman" w:eastAsiaTheme="minorEastAsia" w:hAnsiTheme="minorEastAsia"/>
          <w:b/>
          <w:szCs w:val="21"/>
        </w:rPr>
        <w:t>一、</w:t>
      </w:r>
      <w:bookmarkStart w:id="34" w:name="OLE_LINK33"/>
      <w:bookmarkStart w:id="35" w:name="OLE_LINK34"/>
      <w:r w:rsidRPr="00521440">
        <w:rPr>
          <w:rFonts w:ascii="Times New Roman" w:eastAsiaTheme="minorEastAsia" w:hAnsiTheme="minorEastAsia"/>
          <w:b/>
          <w:szCs w:val="21"/>
        </w:rPr>
        <w:t>行业保持较快增长，但增幅较上一年度有所放缓</w:t>
      </w:r>
      <w:r w:rsidRPr="003F636E">
        <w:rPr>
          <w:rFonts w:ascii="Times New Roman" w:eastAsiaTheme="minorEastAsia" w:hAnsiTheme="minorEastAsia"/>
          <w:szCs w:val="21"/>
        </w:rPr>
        <w:t>。</w:t>
      </w:r>
      <w:bookmarkEnd w:id="34"/>
      <w:bookmarkEnd w:id="35"/>
      <w:r w:rsidRPr="003F636E">
        <w:rPr>
          <w:rFonts w:ascii="Times New Roman" w:eastAsiaTheme="minorEastAsia" w:hAnsiTheme="minorEastAsia"/>
          <w:szCs w:val="21"/>
        </w:rPr>
        <w:t>通过对提交问卷的</w:t>
      </w:r>
      <w:r w:rsidRPr="003F636E">
        <w:rPr>
          <w:rFonts w:ascii="Times New Roman" w:eastAsiaTheme="minorEastAsia" w:hAnsi="Times New Roman"/>
          <w:szCs w:val="21"/>
        </w:rPr>
        <w:t>78</w:t>
      </w:r>
      <w:r w:rsidRPr="003F636E">
        <w:rPr>
          <w:rFonts w:ascii="Times New Roman" w:eastAsiaTheme="minorEastAsia" w:hAnsiTheme="minorEastAsia"/>
          <w:szCs w:val="21"/>
        </w:rPr>
        <w:t>家公司数据分析，</w:t>
      </w:r>
      <w:r w:rsidRPr="003F636E">
        <w:rPr>
          <w:rFonts w:ascii="Times New Roman" w:eastAsiaTheme="minorEastAsia" w:hAnsi="Times New Roman"/>
          <w:szCs w:val="21"/>
        </w:rPr>
        <w:t>2012</w:t>
      </w:r>
      <w:r w:rsidRPr="003F636E">
        <w:rPr>
          <w:rFonts w:ascii="Times New Roman" w:eastAsiaTheme="minorEastAsia" w:hAnsiTheme="minorEastAsia"/>
          <w:szCs w:val="21"/>
        </w:rPr>
        <w:t>年无论是在营业额还是营业收入方面，都有明显增长。通过调查数据测算，本年度全行业营业额达到</w:t>
      </w:r>
      <w:r w:rsidRPr="003F636E">
        <w:rPr>
          <w:rFonts w:ascii="Times New Roman" w:eastAsiaTheme="minorEastAsia" w:hAnsi="Times New Roman"/>
          <w:szCs w:val="21"/>
        </w:rPr>
        <w:t>3</w:t>
      </w:r>
      <w:r w:rsidR="00521440">
        <w:rPr>
          <w:rFonts w:ascii="Times New Roman" w:eastAsiaTheme="minorEastAsia" w:hAnsi="Times New Roman" w:hint="eastAsia"/>
          <w:szCs w:val="21"/>
        </w:rPr>
        <w:t>03</w:t>
      </w:r>
      <w:r w:rsidRPr="003F636E">
        <w:rPr>
          <w:rFonts w:ascii="Times New Roman" w:eastAsiaTheme="minorEastAsia" w:hAnsiTheme="minorEastAsia"/>
          <w:szCs w:val="21"/>
        </w:rPr>
        <w:t>亿元人民币，增幅约为</w:t>
      </w:r>
      <w:r w:rsidRPr="003F636E">
        <w:rPr>
          <w:rFonts w:ascii="Times New Roman" w:eastAsiaTheme="minorEastAsia" w:hAnsi="Times New Roman"/>
          <w:szCs w:val="21"/>
        </w:rPr>
        <w:t>1</w:t>
      </w:r>
      <w:r w:rsidR="00521440">
        <w:rPr>
          <w:rFonts w:ascii="Times New Roman" w:eastAsiaTheme="minorEastAsia" w:hAnsi="Times New Roman" w:hint="eastAsia"/>
          <w:szCs w:val="21"/>
        </w:rPr>
        <w:t>6.5</w:t>
      </w:r>
      <w:r w:rsidRPr="003F636E">
        <w:rPr>
          <w:rFonts w:ascii="Times New Roman" w:eastAsiaTheme="minorEastAsia" w:hAnsi="Times New Roman"/>
          <w:szCs w:val="21"/>
        </w:rPr>
        <w:t>%</w:t>
      </w:r>
      <w:r w:rsidRPr="003F636E">
        <w:rPr>
          <w:rFonts w:ascii="Times New Roman" w:eastAsiaTheme="minorEastAsia" w:hAnsiTheme="minorEastAsia"/>
          <w:szCs w:val="21"/>
        </w:rPr>
        <w:t>。尽管与前一年的增幅相比有所降低（</w:t>
      </w:r>
      <w:r w:rsidRPr="003F636E">
        <w:rPr>
          <w:rFonts w:ascii="Times New Roman" w:eastAsiaTheme="minorEastAsia" w:hAnsi="Times New Roman"/>
          <w:szCs w:val="21"/>
        </w:rPr>
        <w:t>2011</w:t>
      </w:r>
      <w:r w:rsidRPr="003F636E">
        <w:rPr>
          <w:rFonts w:ascii="Times New Roman" w:eastAsiaTheme="minorEastAsia" w:hAnsiTheme="minorEastAsia"/>
          <w:szCs w:val="21"/>
        </w:rPr>
        <w:t>年的增幅为</w:t>
      </w:r>
      <w:r w:rsidRPr="003F636E">
        <w:rPr>
          <w:rFonts w:ascii="Times New Roman" w:eastAsiaTheme="minorEastAsia" w:hAnsi="Times New Roman"/>
          <w:szCs w:val="21"/>
        </w:rPr>
        <w:t>23.8%</w:t>
      </w:r>
      <w:r w:rsidRPr="003F636E">
        <w:rPr>
          <w:rFonts w:ascii="Times New Roman" w:eastAsiaTheme="minorEastAsia" w:hAnsiTheme="minorEastAsia"/>
          <w:szCs w:val="21"/>
        </w:rPr>
        <w:t>），但如果排除作为公共关系业第一大客户</w:t>
      </w:r>
      <w:r w:rsidRPr="003F636E">
        <w:rPr>
          <w:rFonts w:ascii="Times New Roman" w:eastAsiaTheme="minorEastAsia" w:hAnsi="Times New Roman"/>
          <w:szCs w:val="21"/>
        </w:rPr>
        <w:t>——</w:t>
      </w:r>
      <w:r w:rsidRPr="003F636E">
        <w:rPr>
          <w:rFonts w:ascii="Times New Roman" w:eastAsiaTheme="minorEastAsia" w:hAnsiTheme="minorEastAsia"/>
          <w:szCs w:val="21"/>
        </w:rPr>
        <w:t>汽车领域因偶然因素带来的影响，</w:t>
      </w:r>
      <w:r w:rsidRPr="003F636E">
        <w:rPr>
          <w:rFonts w:ascii="Times New Roman" w:eastAsiaTheme="minorEastAsia" w:hAnsi="Times New Roman"/>
          <w:szCs w:val="21"/>
        </w:rPr>
        <w:t>2012</w:t>
      </w:r>
      <w:r w:rsidRPr="003F636E">
        <w:rPr>
          <w:rFonts w:ascii="Times New Roman" w:eastAsiaTheme="minorEastAsia" w:hAnsiTheme="minorEastAsia"/>
          <w:szCs w:val="21"/>
        </w:rPr>
        <w:t>年度公关行业发展势头依然十分强劲。</w:t>
      </w:r>
    </w:p>
    <w:p w:rsidR="007C06C0" w:rsidRPr="003F636E" w:rsidRDefault="007C06C0" w:rsidP="00521440">
      <w:pPr>
        <w:spacing w:line="276" w:lineRule="auto"/>
        <w:ind w:firstLineChars="200" w:firstLine="422"/>
        <w:rPr>
          <w:rFonts w:ascii="Times New Roman" w:eastAsiaTheme="minorEastAsia" w:hAnsi="Times New Roman"/>
          <w:szCs w:val="21"/>
        </w:rPr>
      </w:pPr>
      <w:r w:rsidRPr="00521440">
        <w:rPr>
          <w:rFonts w:ascii="Times New Roman" w:eastAsiaTheme="minorEastAsia" w:hAnsiTheme="minorEastAsia"/>
          <w:b/>
          <w:szCs w:val="21"/>
        </w:rPr>
        <w:t>二、</w:t>
      </w:r>
      <w:bookmarkStart w:id="36" w:name="OLE_LINK35"/>
      <w:bookmarkStart w:id="37" w:name="OLE_LINK36"/>
      <w:r w:rsidRPr="00521440">
        <w:rPr>
          <w:rFonts w:ascii="Times New Roman" w:eastAsiaTheme="minorEastAsia" w:hAnsiTheme="minorEastAsia"/>
          <w:b/>
          <w:szCs w:val="21"/>
        </w:rPr>
        <w:t>汽车、快消、</w:t>
      </w:r>
      <w:r w:rsidRPr="00521440">
        <w:rPr>
          <w:rFonts w:ascii="Times New Roman" w:eastAsiaTheme="minorEastAsia" w:hAnsi="Times New Roman"/>
          <w:b/>
          <w:szCs w:val="21"/>
        </w:rPr>
        <w:t>IT</w:t>
      </w:r>
      <w:r w:rsidRPr="00521440">
        <w:rPr>
          <w:rFonts w:ascii="Times New Roman" w:eastAsiaTheme="minorEastAsia" w:hAnsiTheme="minorEastAsia"/>
          <w:b/>
          <w:szCs w:val="21"/>
        </w:rPr>
        <w:t>、金融四大领域占据公共关系市场近半份额</w:t>
      </w:r>
      <w:bookmarkEnd w:id="36"/>
      <w:bookmarkEnd w:id="37"/>
      <w:r w:rsidRPr="00521440">
        <w:rPr>
          <w:rFonts w:ascii="Times New Roman" w:eastAsiaTheme="minorEastAsia" w:hAnsiTheme="minorEastAsia"/>
          <w:b/>
          <w:szCs w:val="21"/>
        </w:rPr>
        <w:t>。</w:t>
      </w:r>
      <w:r w:rsidRPr="003F636E">
        <w:rPr>
          <w:rFonts w:ascii="Times New Roman" w:eastAsiaTheme="minorEastAsia" w:hAnsiTheme="minorEastAsia"/>
          <w:szCs w:val="21"/>
        </w:rPr>
        <w:t>调查显示，</w:t>
      </w:r>
      <w:r w:rsidRPr="003F636E">
        <w:rPr>
          <w:rFonts w:ascii="Times New Roman" w:eastAsiaTheme="minorEastAsia" w:hAnsi="Times New Roman"/>
          <w:szCs w:val="21"/>
        </w:rPr>
        <w:t>2012</w:t>
      </w:r>
      <w:r w:rsidRPr="003F636E">
        <w:rPr>
          <w:rFonts w:ascii="Times New Roman" w:eastAsiaTheme="minorEastAsia" w:hAnsiTheme="minorEastAsia"/>
          <w:szCs w:val="21"/>
        </w:rPr>
        <w:t>年度中国公共关系服务市场的前四位分别为：汽车、快速消费、</w:t>
      </w:r>
      <w:r w:rsidRPr="003F636E">
        <w:rPr>
          <w:rFonts w:ascii="Times New Roman" w:eastAsiaTheme="minorEastAsia" w:hAnsi="Times New Roman"/>
          <w:szCs w:val="21"/>
        </w:rPr>
        <w:t>IT</w:t>
      </w:r>
      <w:r w:rsidRPr="003F636E">
        <w:rPr>
          <w:rFonts w:ascii="Times New Roman" w:eastAsiaTheme="minorEastAsia" w:hAnsiTheme="minorEastAsia"/>
          <w:szCs w:val="21"/>
        </w:rPr>
        <w:t>、金融，市场份额分别为</w:t>
      </w:r>
      <w:r w:rsidRPr="003F636E">
        <w:rPr>
          <w:rFonts w:ascii="Times New Roman" w:eastAsiaTheme="minorEastAsia" w:hAnsi="Times New Roman"/>
          <w:szCs w:val="21"/>
        </w:rPr>
        <w:t>19%</w:t>
      </w:r>
      <w:r w:rsidRPr="003F636E">
        <w:rPr>
          <w:rFonts w:ascii="Times New Roman" w:eastAsiaTheme="minorEastAsia" w:hAnsiTheme="minorEastAsia"/>
          <w:szCs w:val="21"/>
        </w:rPr>
        <w:t>、</w:t>
      </w:r>
      <w:r w:rsidRPr="003F636E">
        <w:rPr>
          <w:rFonts w:ascii="Times New Roman" w:eastAsiaTheme="minorEastAsia" w:hAnsi="Times New Roman"/>
          <w:szCs w:val="21"/>
        </w:rPr>
        <w:t>13.5%</w:t>
      </w:r>
      <w:r w:rsidRPr="003F636E">
        <w:rPr>
          <w:rFonts w:ascii="Times New Roman" w:eastAsiaTheme="minorEastAsia" w:hAnsiTheme="minorEastAsia"/>
          <w:szCs w:val="21"/>
        </w:rPr>
        <w:t>、</w:t>
      </w:r>
      <w:r w:rsidRPr="003F636E">
        <w:rPr>
          <w:rFonts w:ascii="Times New Roman" w:eastAsiaTheme="minorEastAsia" w:hAnsi="Times New Roman"/>
          <w:szCs w:val="21"/>
        </w:rPr>
        <w:t>8.2%</w:t>
      </w:r>
      <w:r w:rsidRPr="003F636E">
        <w:rPr>
          <w:rFonts w:ascii="Times New Roman" w:eastAsiaTheme="minorEastAsia" w:hAnsiTheme="minorEastAsia"/>
          <w:szCs w:val="21"/>
        </w:rPr>
        <w:t>、</w:t>
      </w:r>
      <w:r w:rsidRPr="003F636E">
        <w:rPr>
          <w:rFonts w:ascii="Times New Roman" w:eastAsiaTheme="minorEastAsia" w:hAnsi="Times New Roman"/>
          <w:szCs w:val="21"/>
        </w:rPr>
        <w:t>6.8%</w:t>
      </w:r>
      <w:r w:rsidRPr="003F636E">
        <w:rPr>
          <w:rFonts w:ascii="Times New Roman" w:eastAsiaTheme="minorEastAsia" w:hAnsiTheme="minorEastAsia"/>
          <w:szCs w:val="21"/>
        </w:rPr>
        <w:t>。与</w:t>
      </w:r>
      <w:r w:rsidRPr="003F636E">
        <w:rPr>
          <w:rFonts w:ascii="Times New Roman" w:eastAsiaTheme="minorEastAsia" w:hAnsi="Times New Roman"/>
          <w:szCs w:val="21"/>
        </w:rPr>
        <w:t>2011</w:t>
      </w:r>
      <w:r w:rsidRPr="003F636E">
        <w:rPr>
          <w:rFonts w:ascii="Times New Roman" w:eastAsiaTheme="minorEastAsia" w:hAnsiTheme="minorEastAsia"/>
          <w:szCs w:val="21"/>
        </w:rPr>
        <w:t>年相比，这些领域依然占据了大多数的市场份额。在短期来看，这一行业分布特点还不会有太大的改变。但值得注意的是，本年度制造业比重与去年相比有显著增长；通讯、房地产市场比重呈现上升趋势；政府及非盈利机构领域依然保持不断增长的态势；而旅游、能源、文化、体育、公用事业、城市营销等占据</w:t>
      </w:r>
      <w:r w:rsidRPr="003F636E">
        <w:rPr>
          <w:rFonts w:ascii="Times New Roman" w:eastAsiaTheme="minorEastAsia" w:hAnsi="Times New Roman"/>
          <w:szCs w:val="21"/>
        </w:rPr>
        <w:t>1/4</w:t>
      </w:r>
      <w:r w:rsidRPr="003F636E">
        <w:rPr>
          <w:rFonts w:ascii="Times New Roman" w:eastAsiaTheme="minorEastAsia" w:hAnsiTheme="minorEastAsia"/>
          <w:szCs w:val="21"/>
        </w:rPr>
        <w:t>以上份额（</w:t>
      </w:r>
      <w:r w:rsidRPr="003F636E">
        <w:rPr>
          <w:rFonts w:ascii="Times New Roman" w:eastAsiaTheme="minorEastAsia" w:hAnsi="Times New Roman"/>
          <w:szCs w:val="21"/>
        </w:rPr>
        <w:t>26.6%</w:t>
      </w:r>
      <w:r w:rsidRPr="003F636E">
        <w:rPr>
          <w:rFonts w:ascii="Times New Roman" w:eastAsiaTheme="minorEastAsia" w:hAnsiTheme="minorEastAsia"/>
          <w:szCs w:val="21"/>
        </w:rPr>
        <w:t>）。由此可见，</w:t>
      </w:r>
      <w:r w:rsidRPr="003F636E">
        <w:rPr>
          <w:rFonts w:ascii="Times New Roman" w:eastAsiaTheme="minorEastAsia" w:hAnsi="Times New Roman"/>
          <w:szCs w:val="21"/>
        </w:rPr>
        <w:t>2012</w:t>
      </w:r>
      <w:r w:rsidRPr="003F636E">
        <w:rPr>
          <w:rFonts w:ascii="Times New Roman" w:eastAsiaTheme="minorEastAsia" w:hAnsiTheme="minorEastAsia"/>
          <w:szCs w:val="21"/>
        </w:rPr>
        <w:t>年度中国公共关系服务市场不再过度倚重汽车行业，服务范围越来越广，呈现出行业扩散化趋势。</w:t>
      </w:r>
    </w:p>
    <w:p w:rsidR="007C06C0" w:rsidRPr="003F636E" w:rsidRDefault="007C06C0" w:rsidP="00521440">
      <w:pPr>
        <w:spacing w:line="276" w:lineRule="auto"/>
        <w:ind w:firstLineChars="200" w:firstLine="422"/>
        <w:rPr>
          <w:rFonts w:ascii="Times New Roman" w:eastAsiaTheme="minorEastAsia" w:hAnsi="Times New Roman"/>
          <w:szCs w:val="21"/>
        </w:rPr>
      </w:pPr>
      <w:r w:rsidRPr="00521440">
        <w:rPr>
          <w:rFonts w:ascii="Times New Roman" w:eastAsiaTheme="minorEastAsia" w:hAnsiTheme="minorEastAsia"/>
          <w:b/>
          <w:szCs w:val="21"/>
        </w:rPr>
        <w:t>三、</w:t>
      </w:r>
      <w:bookmarkStart w:id="38" w:name="OLE_LINK37"/>
      <w:bookmarkStart w:id="39" w:name="OLE_LINK38"/>
      <w:r w:rsidRPr="00521440">
        <w:rPr>
          <w:rFonts w:ascii="Times New Roman" w:eastAsiaTheme="minorEastAsia" w:hAnsiTheme="minorEastAsia"/>
          <w:b/>
          <w:szCs w:val="21"/>
        </w:rPr>
        <w:t>汽车行业份额大幅降低。</w:t>
      </w:r>
      <w:bookmarkEnd w:id="38"/>
      <w:bookmarkEnd w:id="39"/>
      <w:r w:rsidRPr="003F636E">
        <w:rPr>
          <w:rFonts w:ascii="Times New Roman" w:eastAsiaTheme="minorEastAsia" w:hAnsiTheme="minorEastAsia"/>
          <w:szCs w:val="21"/>
        </w:rPr>
        <w:t>调查显示，</w:t>
      </w:r>
      <w:r w:rsidRPr="003F636E">
        <w:rPr>
          <w:rFonts w:ascii="Times New Roman" w:eastAsiaTheme="minorEastAsia" w:hAnsi="Times New Roman"/>
          <w:szCs w:val="21"/>
        </w:rPr>
        <w:t>2012</w:t>
      </w:r>
      <w:r w:rsidRPr="003F636E">
        <w:rPr>
          <w:rFonts w:ascii="Times New Roman" w:eastAsiaTheme="minorEastAsia" w:hAnsiTheme="minorEastAsia"/>
          <w:szCs w:val="21"/>
        </w:rPr>
        <w:t>年度汽车市场在公关行业中的份额大幅度下滑。数据显示，汽车行业份额从</w:t>
      </w:r>
      <w:r w:rsidRPr="003F636E">
        <w:rPr>
          <w:rFonts w:ascii="Times New Roman" w:eastAsiaTheme="minorEastAsia" w:hAnsi="Times New Roman"/>
          <w:szCs w:val="21"/>
        </w:rPr>
        <w:t>2011</w:t>
      </w:r>
      <w:r w:rsidRPr="003F636E">
        <w:rPr>
          <w:rFonts w:ascii="Times New Roman" w:eastAsiaTheme="minorEastAsia" w:hAnsiTheme="minorEastAsia"/>
          <w:szCs w:val="21"/>
        </w:rPr>
        <w:t>年的</w:t>
      </w:r>
      <w:r w:rsidRPr="003F636E">
        <w:rPr>
          <w:rFonts w:ascii="Times New Roman" w:eastAsiaTheme="minorEastAsia" w:hAnsi="Times New Roman"/>
          <w:szCs w:val="21"/>
        </w:rPr>
        <w:t>32.9%</w:t>
      </w:r>
      <w:r w:rsidRPr="003F636E">
        <w:rPr>
          <w:rFonts w:ascii="Times New Roman" w:eastAsiaTheme="minorEastAsia" w:hAnsiTheme="minorEastAsia"/>
          <w:szCs w:val="21"/>
        </w:rPr>
        <w:t>骤减到</w:t>
      </w:r>
      <w:r w:rsidRPr="003F636E">
        <w:rPr>
          <w:rFonts w:ascii="Times New Roman" w:eastAsiaTheme="minorEastAsia" w:hAnsi="Times New Roman"/>
          <w:szCs w:val="21"/>
        </w:rPr>
        <w:t>2012</w:t>
      </w:r>
      <w:r w:rsidRPr="003F636E">
        <w:rPr>
          <w:rFonts w:ascii="Times New Roman" w:eastAsiaTheme="minorEastAsia" w:hAnsiTheme="minorEastAsia"/>
          <w:szCs w:val="21"/>
        </w:rPr>
        <w:t>年的</w:t>
      </w:r>
      <w:r w:rsidRPr="003F636E">
        <w:rPr>
          <w:rFonts w:ascii="Times New Roman" w:eastAsiaTheme="minorEastAsia" w:hAnsi="Times New Roman"/>
          <w:szCs w:val="21"/>
        </w:rPr>
        <w:t>19%</w:t>
      </w:r>
      <w:r w:rsidRPr="003F636E">
        <w:rPr>
          <w:rFonts w:ascii="Times New Roman" w:eastAsiaTheme="minorEastAsia" w:hAnsiTheme="minorEastAsia"/>
          <w:szCs w:val="21"/>
        </w:rPr>
        <w:t>。这其中主要原因是由于受到中日关系的影响，</w:t>
      </w:r>
      <w:proofErr w:type="gramStart"/>
      <w:r w:rsidRPr="003F636E">
        <w:rPr>
          <w:rFonts w:ascii="Times New Roman" w:eastAsiaTheme="minorEastAsia" w:hAnsiTheme="minorEastAsia"/>
          <w:szCs w:val="21"/>
        </w:rPr>
        <w:t>日系汽车</w:t>
      </w:r>
      <w:proofErr w:type="gramEnd"/>
      <w:r w:rsidRPr="003F636E">
        <w:rPr>
          <w:rFonts w:ascii="Times New Roman" w:eastAsiaTheme="minorEastAsia" w:hAnsiTheme="minorEastAsia"/>
          <w:szCs w:val="21"/>
        </w:rPr>
        <w:t>在华销售额骤减，相应的公关费用也大幅减少，加上部分一线城市的购车限制政策，直接影响了本年度汽车行业的公关支出。这也表明，公关公司应逐步扩大服务领域，避免客户行业度过分集中，从而规避经营中带来的风险。</w:t>
      </w:r>
    </w:p>
    <w:p w:rsidR="007C06C0" w:rsidRPr="003F636E" w:rsidRDefault="007C06C0" w:rsidP="00521440">
      <w:pPr>
        <w:spacing w:line="276" w:lineRule="auto"/>
        <w:ind w:firstLineChars="200" w:firstLine="422"/>
        <w:rPr>
          <w:rFonts w:ascii="Times New Roman" w:eastAsiaTheme="minorEastAsia" w:hAnsi="Times New Roman"/>
          <w:color w:val="000000"/>
          <w:szCs w:val="21"/>
        </w:rPr>
      </w:pPr>
      <w:r w:rsidRPr="00521440">
        <w:rPr>
          <w:rFonts w:ascii="Times New Roman" w:eastAsiaTheme="minorEastAsia" w:hAnsiTheme="minorEastAsia"/>
          <w:b/>
          <w:szCs w:val="21"/>
        </w:rPr>
        <w:t>四、</w:t>
      </w:r>
      <w:bookmarkStart w:id="40" w:name="OLE_LINK39"/>
      <w:bookmarkStart w:id="41" w:name="OLE_LINK40"/>
      <w:r w:rsidRPr="00521440">
        <w:rPr>
          <w:rFonts w:ascii="Times New Roman" w:eastAsiaTheme="minorEastAsia" w:hAnsiTheme="minorEastAsia"/>
          <w:b/>
          <w:szCs w:val="21"/>
        </w:rPr>
        <w:t>网络公关业务继续呈现较快增长势头。</w:t>
      </w:r>
      <w:bookmarkEnd w:id="40"/>
      <w:bookmarkEnd w:id="41"/>
      <w:r w:rsidRPr="003F636E">
        <w:rPr>
          <w:rFonts w:ascii="Times New Roman" w:eastAsiaTheme="minorEastAsia" w:hAnsiTheme="minorEastAsia"/>
          <w:szCs w:val="21"/>
        </w:rPr>
        <w:t>随着社会化媒体的快速、深入发展，以及在公关行业方面日益广泛的应用，网络营销、危机公关、</w:t>
      </w:r>
      <w:proofErr w:type="gramStart"/>
      <w:r w:rsidRPr="003F636E">
        <w:rPr>
          <w:rFonts w:ascii="Times New Roman" w:eastAsiaTheme="minorEastAsia" w:hAnsiTheme="minorEastAsia"/>
          <w:szCs w:val="21"/>
        </w:rPr>
        <w:t>微博微信</w:t>
      </w:r>
      <w:proofErr w:type="gramEnd"/>
      <w:r w:rsidRPr="003F636E">
        <w:rPr>
          <w:rFonts w:ascii="Times New Roman" w:eastAsiaTheme="minorEastAsia" w:hAnsiTheme="minorEastAsia"/>
          <w:szCs w:val="21"/>
        </w:rPr>
        <w:t>沟通等已经成为公司和客户都非常认可的重要传播手段，部分公司的新媒体业务已经成为重要的增长点。调查显示，</w:t>
      </w:r>
      <w:r w:rsidRPr="003F636E">
        <w:rPr>
          <w:rFonts w:ascii="Times New Roman" w:eastAsiaTheme="minorEastAsia" w:hAnsi="Times New Roman"/>
          <w:szCs w:val="21"/>
        </w:rPr>
        <w:t>35</w:t>
      </w:r>
      <w:r w:rsidRPr="003F636E">
        <w:rPr>
          <w:rFonts w:ascii="Times New Roman" w:eastAsiaTheme="minorEastAsia" w:hAnsiTheme="minorEastAsia"/>
          <w:szCs w:val="21"/>
        </w:rPr>
        <w:t>家公司中</w:t>
      </w:r>
      <w:r w:rsidRPr="003F636E">
        <w:rPr>
          <w:rFonts w:ascii="Times New Roman" w:eastAsiaTheme="minorEastAsia" w:hAnsi="Times New Roman"/>
          <w:szCs w:val="21"/>
        </w:rPr>
        <w:t>94%</w:t>
      </w:r>
      <w:r w:rsidRPr="003F636E">
        <w:rPr>
          <w:rFonts w:ascii="Times New Roman" w:eastAsiaTheme="minorEastAsia" w:hAnsiTheme="minorEastAsia"/>
          <w:szCs w:val="21"/>
        </w:rPr>
        <w:t>的公司已开展网络公关业务，网络公关业务营业收入在</w:t>
      </w:r>
      <w:r w:rsidRPr="003F636E">
        <w:rPr>
          <w:rFonts w:ascii="Times New Roman" w:eastAsiaTheme="minorEastAsia" w:hAnsi="Times New Roman"/>
          <w:szCs w:val="21"/>
        </w:rPr>
        <w:t>3000</w:t>
      </w:r>
      <w:r w:rsidRPr="003F636E">
        <w:rPr>
          <w:rFonts w:ascii="Times New Roman" w:eastAsiaTheme="minorEastAsia" w:hAnsiTheme="minorEastAsia"/>
          <w:szCs w:val="21"/>
        </w:rPr>
        <w:t>万元以上的公司有</w:t>
      </w:r>
      <w:r w:rsidRPr="003F636E">
        <w:rPr>
          <w:rFonts w:ascii="Times New Roman" w:eastAsiaTheme="minorEastAsia" w:hAnsi="Times New Roman"/>
          <w:szCs w:val="21"/>
        </w:rPr>
        <w:t>6</w:t>
      </w:r>
      <w:r w:rsidRPr="003F636E">
        <w:rPr>
          <w:rFonts w:ascii="Times New Roman" w:eastAsiaTheme="minorEastAsia" w:hAnsiTheme="minorEastAsia"/>
          <w:szCs w:val="21"/>
        </w:rPr>
        <w:t>家。</w:t>
      </w:r>
    </w:p>
    <w:p w:rsidR="007C06C0" w:rsidRPr="003F636E" w:rsidRDefault="007C06C0" w:rsidP="00521440">
      <w:pPr>
        <w:spacing w:line="276" w:lineRule="auto"/>
        <w:ind w:firstLineChars="200" w:firstLine="422"/>
        <w:rPr>
          <w:rFonts w:ascii="Times New Roman" w:eastAsiaTheme="minorEastAsia" w:hAnsi="Times New Roman"/>
          <w:szCs w:val="21"/>
        </w:rPr>
      </w:pPr>
      <w:r w:rsidRPr="00521440">
        <w:rPr>
          <w:rFonts w:ascii="Times New Roman" w:eastAsiaTheme="minorEastAsia" w:hAnsiTheme="minorEastAsia"/>
          <w:b/>
          <w:szCs w:val="21"/>
        </w:rPr>
        <w:t>五、</w:t>
      </w:r>
      <w:bookmarkStart w:id="42" w:name="OLE_LINK41"/>
      <w:bookmarkStart w:id="43" w:name="OLE_LINK42"/>
      <w:r w:rsidRPr="00521440">
        <w:rPr>
          <w:rFonts w:ascii="Times New Roman" w:eastAsiaTheme="minorEastAsia" w:hAnsiTheme="minorEastAsia"/>
          <w:b/>
          <w:szCs w:val="21"/>
        </w:rPr>
        <w:t>政府和非盈利机构公关需求上升势头加快。</w:t>
      </w:r>
      <w:bookmarkEnd w:id="42"/>
      <w:bookmarkEnd w:id="43"/>
      <w:r w:rsidRPr="003F636E">
        <w:rPr>
          <w:rFonts w:ascii="Times New Roman" w:eastAsiaTheme="minorEastAsia" w:hAnsiTheme="minorEastAsia"/>
          <w:szCs w:val="21"/>
        </w:rPr>
        <w:t>随着国家形象传播的推进，城市品牌塑造也越来越受重视。相关职能部门、地方政府对公共关系的重视程度正在不断增强，并且开始越来越多地使用公关这个专业服务手段。</w:t>
      </w:r>
      <w:r w:rsidRPr="003F636E">
        <w:rPr>
          <w:rFonts w:ascii="Times New Roman" w:eastAsiaTheme="minorEastAsia" w:hAnsi="Times New Roman"/>
          <w:szCs w:val="21"/>
        </w:rPr>
        <w:t>2012</w:t>
      </w:r>
      <w:r w:rsidRPr="003F636E">
        <w:rPr>
          <w:rFonts w:ascii="Times New Roman" w:eastAsiaTheme="minorEastAsia" w:hAnsiTheme="minorEastAsia"/>
          <w:szCs w:val="21"/>
        </w:rPr>
        <w:t>年政府和非盈利机构营业额的增加充分印证了这一新趋势，这将有利推动公关行业的未来发展。</w:t>
      </w:r>
    </w:p>
    <w:p w:rsidR="007C06C0" w:rsidRPr="003F636E" w:rsidRDefault="007C06C0" w:rsidP="00521440">
      <w:pPr>
        <w:spacing w:line="276" w:lineRule="auto"/>
        <w:ind w:firstLineChars="200" w:firstLine="422"/>
        <w:rPr>
          <w:rFonts w:ascii="Times New Roman" w:eastAsiaTheme="minorEastAsia" w:hAnsi="Times New Roman"/>
          <w:szCs w:val="21"/>
        </w:rPr>
      </w:pPr>
      <w:r w:rsidRPr="00521440">
        <w:rPr>
          <w:rFonts w:ascii="Times New Roman" w:eastAsiaTheme="minorEastAsia" w:hAnsiTheme="minorEastAsia"/>
          <w:b/>
          <w:szCs w:val="21"/>
        </w:rPr>
        <w:t>六、</w:t>
      </w:r>
      <w:bookmarkStart w:id="44" w:name="OLE_LINK43"/>
      <w:bookmarkStart w:id="45" w:name="OLE_LINK44"/>
      <w:r w:rsidRPr="00521440">
        <w:rPr>
          <w:rFonts w:ascii="Times New Roman" w:eastAsiaTheme="minorEastAsia" w:hAnsiTheme="minorEastAsia"/>
          <w:b/>
          <w:szCs w:val="21"/>
        </w:rPr>
        <w:t>中国公关行业的服务区域不断扩展。</w:t>
      </w:r>
      <w:bookmarkEnd w:id="44"/>
      <w:bookmarkEnd w:id="45"/>
      <w:r w:rsidRPr="003F636E">
        <w:rPr>
          <w:rFonts w:ascii="Times New Roman" w:eastAsiaTheme="minorEastAsia" w:hAnsiTheme="minorEastAsia"/>
          <w:szCs w:val="21"/>
        </w:rPr>
        <w:t>调查显示，尽管北京、上海、广州等一线城市依然是中国公关行业最为集中的地区，但一些颇具潜力的二线城市，如成都、南京、西安、武汉、厦门、沈阳等，正逐步成为快速发展且具有巨大潜力的市场。由于这些地区具有一定的经济、商业实力，随着对公关的认识越来越深入，公关需求正在快速上升。加上这些城市</w:t>
      </w:r>
      <w:r w:rsidRPr="003F636E">
        <w:rPr>
          <w:rFonts w:ascii="Times New Roman" w:eastAsiaTheme="minorEastAsia" w:hAnsiTheme="minorEastAsia"/>
          <w:szCs w:val="21"/>
        </w:rPr>
        <w:lastRenderedPageBreak/>
        <w:t>与一线城市相比，具有人力成本优势，因此，一些全国性公关公司正在加速二线城市的布局，这对提升整个公共关系行业的影响力，将起到很大的推动作用。</w:t>
      </w:r>
    </w:p>
    <w:p w:rsidR="007C06C0" w:rsidRPr="003F636E" w:rsidRDefault="007C06C0" w:rsidP="00521440">
      <w:pPr>
        <w:spacing w:line="276" w:lineRule="auto"/>
        <w:ind w:firstLineChars="200" w:firstLine="422"/>
        <w:rPr>
          <w:rFonts w:ascii="Times New Roman" w:eastAsiaTheme="minorEastAsia" w:hAnsi="Times New Roman"/>
          <w:szCs w:val="21"/>
        </w:rPr>
      </w:pPr>
      <w:r w:rsidRPr="00521440">
        <w:rPr>
          <w:rFonts w:ascii="Times New Roman" w:eastAsiaTheme="minorEastAsia" w:hAnsiTheme="minorEastAsia"/>
          <w:b/>
          <w:szCs w:val="21"/>
        </w:rPr>
        <w:t>七、</w:t>
      </w:r>
      <w:bookmarkStart w:id="46" w:name="OLE_LINK45"/>
      <w:bookmarkStart w:id="47" w:name="OLE_LINK46"/>
      <w:r w:rsidRPr="00521440">
        <w:rPr>
          <w:rFonts w:ascii="Times New Roman" w:eastAsiaTheme="minorEastAsia" w:hAnsiTheme="minorEastAsia"/>
          <w:b/>
          <w:szCs w:val="21"/>
        </w:rPr>
        <w:t>国际公关公司加大在华战略布局。</w:t>
      </w:r>
      <w:bookmarkEnd w:id="46"/>
      <w:bookmarkEnd w:id="47"/>
      <w:r w:rsidRPr="003F636E">
        <w:rPr>
          <w:rFonts w:ascii="Times New Roman" w:eastAsiaTheme="minorEastAsia" w:hAnsiTheme="minorEastAsia"/>
          <w:szCs w:val="21"/>
        </w:rPr>
        <w:t>随着中国经济占全球比重的不断不升，国际公关公司逐步加大在华拓展力度，它们除在一线城市外，也开始在二线城市尝试开展业务。本次调查增加了国际公司业务一项。调查显示，本次参与调查的国际公司的营业成本控制较好，个人平均绩效很高。另外，这些公司的年签约客户数及连续签约客户</w:t>
      </w:r>
      <w:proofErr w:type="gramStart"/>
      <w:r w:rsidRPr="003F636E">
        <w:rPr>
          <w:rFonts w:ascii="Times New Roman" w:eastAsiaTheme="minorEastAsia" w:hAnsiTheme="minorEastAsia"/>
          <w:szCs w:val="21"/>
        </w:rPr>
        <w:t>数非常</w:t>
      </w:r>
      <w:proofErr w:type="gramEnd"/>
      <w:r w:rsidRPr="003F636E">
        <w:rPr>
          <w:rFonts w:ascii="Times New Roman" w:eastAsiaTheme="minorEastAsia" w:hAnsiTheme="minorEastAsia"/>
          <w:szCs w:val="21"/>
        </w:rPr>
        <w:t>稳定，均在</w:t>
      </w:r>
      <w:r w:rsidRPr="003F636E">
        <w:rPr>
          <w:rFonts w:ascii="Times New Roman" w:eastAsiaTheme="minorEastAsia" w:hAnsi="Times New Roman"/>
          <w:szCs w:val="21"/>
        </w:rPr>
        <w:t>50</w:t>
      </w:r>
      <w:r w:rsidRPr="003F636E">
        <w:rPr>
          <w:rFonts w:ascii="Times New Roman" w:eastAsiaTheme="minorEastAsia" w:hAnsiTheme="minorEastAsia"/>
          <w:szCs w:val="21"/>
        </w:rPr>
        <w:t>家以上。这表明，国际公关公司在客户资源和专业化服务水平有其独到的优势，</w:t>
      </w:r>
      <w:r w:rsidR="00656E11" w:rsidRPr="00656E11">
        <w:rPr>
          <w:rFonts w:ascii="Times New Roman" w:eastAsiaTheme="minorEastAsia" w:hAnsiTheme="minorEastAsia" w:hint="eastAsia"/>
          <w:szCs w:val="21"/>
        </w:rPr>
        <w:t>国际公司和本土公司共同发展的趋势也将更加明显。</w:t>
      </w:r>
      <w:r w:rsidRPr="003F636E">
        <w:rPr>
          <w:rFonts w:ascii="Times New Roman" w:eastAsiaTheme="minorEastAsia" w:hAnsiTheme="minorEastAsia"/>
          <w:szCs w:val="21"/>
        </w:rPr>
        <w:t>。</w:t>
      </w:r>
    </w:p>
    <w:p w:rsidR="007C06C0" w:rsidRPr="00521440" w:rsidRDefault="007C06C0" w:rsidP="00521440">
      <w:pPr>
        <w:spacing w:line="276" w:lineRule="auto"/>
        <w:ind w:firstLineChars="200" w:firstLine="422"/>
        <w:rPr>
          <w:rFonts w:ascii="Times New Roman" w:eastAsiaTheme="minorEastAsia" w:hAnsi="Times New Roman"/>
          <w:b/>
          <w:szCs w:val="21"/>
        </w:rPr>
      </w:pPr>
      <w:r w:rsidRPr="00521440">
        <w:rPr>
          <w:rFonts w:ascii="Times New Roman" w:eastAsiaTheme="minorEastAsia" w:hAnsiTheme="minorEastAsia"/>
          <w:b/>
          <w:szCs w:val="21"/>
        </w:rPr>
        <w:t>八、</w:t>
      </w:r>
      <w:bookmarkStart w:id="48" w:name="OLE_LINK47"/>
      <w:bookmarkStart w:id="49" w:name="OLE_LINK48"/>
      <w:r w:rsidRPr="00521440">
        <w:rPr>
          <w:rFonts w:ascii="Times New Roman" w:eastAsiaTheme="minorEastAsia" w:hAnsiTheme="minorEastAsia"/>
          <w:b/>
          <w:szCs w:val="21"/>
        </w:rPr>
        <w:t>中国公关行业面临的挑战与机遇。</w:t>
      </w:r>
      <w:bookmarkEnd w:id="48"/>
      <w:bookmarkEnd w:id="49"/>
    </w:p>
    <w:p w:rsidR="007C06C0" w:rsidRPr="003F636E" w:rsidRDefault="007C06C0" w:rsidP="00521440">
      <w:pPr>
        <w:spacing w:line="276" w:lineRule="auto"/>
        <w:ind w:firstLineChars="200" w:firstLine="420"/>
        <w:rPr>
          <w:rFonts w:ascii="Times New Roman" w:eastAsiaTheme="minorEastAsia" w:hAnsi="Times New Roman"/>
          <w:kern w:val="0"/>
          <w:szCs w:val="21"/>
        </w:rPr>
      </w:pPr>
      <w:r w:rsidRPr="00521440">
        <w:rPr>
          <w:rFonts w:ascii="Times New Roman" w:eastAsiaTheme="minorEastAsia" w:hAnsiTheme="minorEastAsia"/>
          <w:kern w:val="0"/>
          <w:szCs w:val="21"/>
        </w:rPr>
        <w:t>首先，</w:t>
      </w:r>
      <w:bookmarkStart w:id="50" w:name="OLE_LINK49"/>
      <w:bookmarkStart w:id="51" w:name="OLE_LINK50"/>
      <w:r w:rsidRPr="00521440">
        <w:rPr>
          <w:rFonts w:ascii="Times New Roman" w:eastAsiaTheme="minorEastAsia" w:hAnsiTheme="minorEastAsia"/>
          <w:kern w:val="0"/>
          <w:szCs w:val="21"/>
        </w:rPr>
        <w:t>人才问题仍然是影响行业发展的瓶颈。</w:t>
      </w:r>
      <w:bookmarkEnd w:id="50"/>
      <w:bookmarkEnd w:id="51"/>
      <w:r w:rsidRPr="003F636E">
        <w:rPr>
          <w:rFonts w:ascii="Times New Roman" w:eastAsiaTheme="minorEastAsia" w:hAnsiTheme="minorEastAsia"/>
          <w:kern w:val="0"/>
          <w:szCs w:val="21"/>
        </w:rPr>
        <w:t>与</w:t>
      </w:r>
      <w:r w:rsidRPr="003F636E">
        <w:rPr>
          <w:rFonts w:ascii="Times New Roman" w:eastAsiaTheme="minorEastAsia" w:hAnsi="Times New Roman"/>
          <w:kern w:val="0"/>
          <w:szCs w:val="21"/>
        </w:rPr>
        <w:t>2011</w:t>
      </w:r>
      <w:r w:rsidRPr="003F636E">
        <w:rPr>
          <w:rFonts w:ascii="Times New Roman" w:eastAsiaTheme="minorEastAsia" w:hAnsiTheme="minorEastAsia"/>
          <w:kern w:val="0"/>
          <w:szCs w:val="21"/>
        </w:rPr>
        <w:t>年相比，中国公关市场人才专业化问题，并没有得到缓解，反而有加剧现象。人才频繁流动、无序流动、供需脱节等问题依然困扰着公关行业。调查显示，公关行业人力资源成本上升较快，也影响了公关公司的营业收入和业务拓展。</w:t>
      </w:r>
    </w:p>
    <w:p w:rsidR="007C06C0" w:rsidRPr="003F636E" w:rsidRDefault="007C06C0" w:rsidP="00521440">
      <w:pPr>
        <w:spacing w:line="276" w:lineRule="auto"/>
        <w:ind w:firstLineChars="200" w:firstLine="420"/>
        <w:rPr>
          <w:rFonts w:ascii="Times New Roman" w:eastAsiaTheme="minorEastAsia" w:hAnsi="Times New Roman"/>
          <w:kern w:val="0"/>
          <w:szCs w:val="21"/>
        </w:rPr>
      </w:pPr>
      <w:r w:rsidRPr="00521440">
        <w:rPr>
          <w:rFonts w:ascii="Times New Roman" w:eastAsiaTheme="minorEastAsia" w:hAnsiTheme="minorEastAsia"/>
          <w:kern w:val="0"/>
          <w:szCs w:val="21"/>
        </w:rPr>
        <w:t>第二，创新问题亟待解决。</w:t>
      </w:r>
      <w:r w:rsidRPr="003F636E">
        <w:rPr>
          <w:rFonts w:ascii="Times New Roman" w:eastAsiaTheme="minorEastAsia" w:hAnsiTheme="minorEastAsia"/>
          <w:kern w:val="0"/>
          <w:szCs w:val="21"/>
        </w:rPr>
        <w:t>如何更好地提升服务质量，改善服务品质，促进行业持续健康发展，创新是根本要素。公关行业无论在业务模式、管理方式、人才培养、新媒体应用等方面，都需要不断地进行创新，进一步提升行业的整体水平。</w:t>
      </w:r>
    </w:p>
    <w:p w:rsidR="00316B3D" w:rsidRDefault="007C06C0" w:rsidP="003F636E">
      <w:pPr>
        <w:spacing w:line="276" w:lineRule="auto"/>
        <w:ind w:firstLineChars="200" w:firstLine="420"/>
        <w:rPr>
          <w:rFonts w:ascii="Times New Roman" w:eastAsiaTheme="minorEastAsia" w:hAnsiTheme="minorEastAsia"/>
          <w:szCs w:val="21"/>
        </w:rPr>
      </w:pPr>
      <w:r w:rsidRPr="003F636E">
        <w:rPr>
          <w:rFonts w:ascii="Times New Roman" w:eastAsiaTheme="minorEastAsia" w:hAnsiTheme="minorEastAsia"/>
          <w:szCs w:val="21"/>
        </w:rPr>
        <w:t>第三，相关政府部门对公关行业的重视程度还不够，导致一些文化创意产业的优惠政策，未能涵盖公关领域，在一定程度上制约了公关产业的发展。</w:t>
      </w:r>
    </w:p>
    <w:p w:rsidR="00CE443E" w:rsidRPr="00CE443E" w:rsidRDefault="00316B3D" w:rsidP="00CE443E">
      <w:pPr>
        <w:spacing w:line="276" w:lineRule="auto"/>
        <w:ind w:firstLineChars="200" w:firstLine="420"/>
        <w:rPr>
          <w:rFonts w:ascii="Times New Roman" w:eastAsiaTheme="minorEastAsia" w:hAnsiTheme="minorEastAsia"/>
          <w:szCs w:val="21"/>
        </w:rPr>
      </w:pPr>
      <w:r>
        <w:rPr>
          <w:rFonts w:ascii="Times New Roman" w:eastAsiaTheme="minorEastAsia" w:hAnsiTheme="minorEastAsia" w:hint="eastAsia"/>
          <w:szCs w:val="21"/>
        </w:rPr>
        <w:t>第四，</w:t>
      </w:r>
      <w:bookmarkStart w:id="52" w:name="OLE_LINK51"/>
      <w:bookmarkStart w:id="53" w:name="OLE_LINK52"/>
      <w:r w:rsidR="00CE443E" w:rsidRPr="00CE443E">
        <w:rPr>
          <w:rFonts w:ascii="Times New Roman" w:eastAsiaTheme="minorEastAsia" w:hAnsiTheme="minorEastAsia" w:hint="eastAsia"/>
          <w:szCs w:val="21"/>
        </w:rPr>
        <w:t>在国家鼓励发展文化产业的政策背景及行业综合发展的背景下，依靠活动代理和执行为主要业务的公司比重降低，但具有核心竞争力的公司依然保持稳定发展。</w:t>
      </w:r>
      <w:bookmarkEnd w:id="52"/>
      <w:bookmarkEnd w:id="53"/>
    </w:p>
    <w:p w:rsidR="007C06C0" w:rsidRPr="003F636E" w:rsidRDefault="00316B3D" w:rsidP="003F636E">
      <w:pPr>
        <w:spacing w:line="276" w:lineRule="auto"/>
        <w:ind w:firstLineChars="200" w:firstLine="420"/>
        <w:rPr>
          <w:rFonts w:ascii="Times New Roman" w:eastAsiaTheme="minorEastAsia" w:hAnsi="Times New Roman"/>
          <w:szCs w:val="21"/>
        </w:rPr>
      </w:pPr>
      <w:r>
        <w:rPr>
          <w:rFonts w:ascii="Times New Roman" w:eastAsiaTheme="minorEastAsia" w:hAnsiTheme="minorEastAsia"/>
          <w:szCs w:val="21"/>
        </w:rPr>
        <w:t>第</w:t>
      </w:r>
      <w:r>
        <w:rPr>
          <w:rFonts w:ascii="Times New Roman" w:eastAsiaTheme="minorEastAsia" w:hAnsiTheme="minorEastAsia" w:hint="eastAsia"/>
          <w:szCs w:val="21"/>
        </w:rPr>
        <w:t>五</w:t>
      </w:r>
      <w:r w:rsidR="007C06C0" w:rsidRPr="003F636E">
        <w:rPr>
          <w:rFonts w:ascii="Times New Roman" w:eastAsiaTheme="minorEastAsia" w:hAnsiTheme="minorEastAsia"/>
          <w:szCs w:val="21"/>
        </w:rPr>
        <w:t>，</w:t>
      </w:r>
      <w:bookmarkStart w:id="54" w:name="OLE_LINK27"/>
      <w:bookmarkStart w:id="55" w:name="OLE_LINK28"/>
      <w:bookmarkStart w:id="56" w:name="OLE_LINK53"/>
      <w:bookmarkStart w:id="57" w:name="OLE_LINK54"/>
      <w:r w:rsidR="00173EBD">
        <w:rPr>
          <w:rFonts w:hint="eastAsia"/>
        </w:rPr>
        <w:t>展望</w:t>
      </w:r>
      <w:r w:rsidR="00173EBD">
        <w:rPr>
          <w:rFonts w:hint="eastAsia"/>
        </w:rPr>
        <w:t>2013</w:t>
      </w:r>
      <w:r w:rsidR="00173EBD">
        <w:rPr>
          <w:rFonts w:hint="eastAsia"/>
        </w:rPr>
        <w:t>年，公共关系业已经进入相对平稳的发展期，</w:t>
      </w:r>
      <w:r w:rsidR="00C25EAC">
        <w:rPr>
          <w:rFonts w:hint="eastAsia"/>
        </w:rPr>
        <w:t>并</w:t>
      </w:r>
      <w:r w:rsidR="00173EBD">
        <w:rPr>
          <w:rFonts w:hint="eastAsia"/>
        </w:rPr>
        <w:t>将继续稳定增长。</w:t>
      </w:r>
      <w:bookmarkEnd w:id="54"/>
      <w:bookmarkEnd w:id="55"/>
      <w:r w:rsidR="007C06C0" w:rsidRPr="003F636E">
        <w:rPr>
          <w:rFonts w:ascii="Times New Roman" w:eastAsiaTheme="minorEastAsia" w:hAnsiTheme="minorEastAsia"/>
          <w:szCs w:val="21"/>
        </w:rPr>
        <w:t>另外，网络公关、事件营销、城市营销等新兴服务将占有更多的市场份额。未来的政府、非盈利机构，特别是城市的公共关系服务需求将成为新的增长点。</w:t>
      </w:r>
      <w:bookmarkEnd w:id="56"/>
      <w:bookmarkEnd w:id="57"/>
    </w:p>
    <w:p w:rsidR="007C06C0" w:rsidRPr="00A06DA4" w:rsidRDefault="007C06C0" w:rsidP="003F636E">
      <w:pPr>
        <w:spacing w:line="276" w:lineRule="auto"/>
        <w:ind w:firstLineChars="200" w:firstLine="420"/>
        <w:rPr>
          <w:szCs w:val="21"/>
        </w:rPr>
      </w:pPr>
      <w:r w:rsidRPr="003F636E">
        <w:rPr>
          <w:rFonts w:ascii="Times New Roman" w:eastAsiaTheme="minorEastAsia" w:hAnsiTheme="minorEastAsia"/>
          <w:szCs w:val="21"/>
        </w:rPr>
        <w:t>为了更加积极地推动中国公共关系行业的可持续和健康发展，中国国际公共关系协会将继续推进公共关系行业的专业化、规范化和国际化建设；继续加大力度，提升行业的社会影响，改变社会对公共关系行业的负面认知；继续与政府相关部门沟通，让政府更加重视公共关系的作用，并使行业获得应有的地位；继续推进公共关系的业务整合和资本运作，推动更多的优秀公关公司做</w:t>
      </w:r>
      <w:proofErr w:type="gramStart"/>
      <w:r w:rsidRPr="003F636E">
        <w:rPr>
          <w:rFonts w:ascii="Times New Roman" w:eastAsiaTheme="minorEastAsia" w:hAnsiTheme="minorEastAsia"/>
          <w:szCs w:val="21"/>
        </w:rPr>
        <w:t>强做</w:t>
      </w:r>
      <w:proofErr w:type="gramEnd"/>
      <w:r w:rsidRPr="003F636E">
        <w:rPr>
          <w:rFonts w:ascii="Times New Roman" w:eastAsiaTheme="minorEastAsia" w:hAnsiTheme="minorEastAsia"/>
          <w:szCs w:val="21"/>
        </w:rPr>
        <w:t>精；鼓励它们在通过创新模式、兼并收购等手段发展壮大的同时，承担更多的行业责任和社会责任。</w:t>
      </w:r>
    </w:p>
    <w:p w:rsidR="005D3EE0" w:rsidRPr="007C06C0" w:rsidRDefault="005D3EE0" w:rsidP="003F636E">
      <w:pPr>
        <w:spacing w:line="276" w:lineRule="auto"/>
      </w:pPr>
    </w:p>
    <w:sectPr w:rsidR="005D3EE0" w:rsidRPr="007C06C0" w:rsidSect="00EF67FC">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4CA" w:rsidRDefault="001D74CA" w:rsidP="007C06C0">
      <w:r>
        <w:separator/>
      </w:r>
    </w:p>
  </w:endnote>
  <w:endnote w:type="continuationSeparator" w:id="0">
    <w:p w:rsidR="001D74CA" w:rsidRDefault="001D74CA" w:rsidP="007C06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CA" w:rsidRDefault="001D74CA">
    <w:pPr>
      <w:pStyle w:val="a4"/>
      <w:jc w:val="center"/>
    </w:pPr>
    <w:r w:rsidRPr="00A0698C">
      <w:rPr>
        <w:rFonts w:ascii="Times New Roman" w:hAnsi="Times New Roman"/>
        <w:lang w:val="zh-CN"/>
      </w:rPr>
      <w:t xml:space="preserve"> </w:t>
    </w:r>
    <w:r w:rsidR="000E05C9" w:rsidRPr="00A0698C">
      <w:rPr>
        <w:rFonts w:ascii="Times New Roman" w:hAnsi="Times New Roman"/>
        <w:b/>
      </w:rPr>
      <w:fldChar w:fldCharType="begin"/>
    </w:r>
    <w:r w:rsidRPr="00A0698C">
      <w:rPr>
        <w:rFonts w:ascii="Times New Roman" w:hAnsi="Times New Roman"/>
        <w:b/>
      </w:rPr>
      <w:instrText>PAGE</w:instrText>
    </w:r>
    <w:r w:rsidR="000E05C9" w:rsidRPr="00A0698C">
      <w:rPr>
        <w:rFonts w:ascii="Times New Roman" w:hAnsi="Times New Roman"/>
        <w:b/>
      </w:rPr>
      <w:fldChar w:fldCharType="separate"/>
    </w:r>
    <w:r w:rsidR="00886838">
      <w:rPr>
        <w:rFonts w:ascii="Times New Roman" w:hAnsi="Times New Roman"/>
        <w:b/>
        <w:noProof/>
      </w:rPr>
      <w:t>8</w:t>
    </w:r>
    <w:r w:rsidR="000E05C9" w:rsidRPr="00A0698C">
      <w:rPr>
        <w:rFonts w:ascii="Times New Roman" w:hAnsi="Times New Roman"/>
        <w:b/>
      </w:rPr>
      <w:fldChar w:fldCharType="end"/>
    </w:r>
    <w:r w:rsidRPr="00A0698C">
      <w:rPr>
        <w:rFonts w:ascii="Times New Roman" w:hAnsi="Times New Roman"/>
        <w:lang w:val="zh-CN"/>
      </w:rPr>
      <w:t xml:space="preserve"> / </w:t>
    </w:r>
    <w:r w:rsidR="000E05C9" w:rsidRPr="00A0698C">
      <w:rPr>
        <w:rFonts w:ascii="Times New Roman" w:hAnsi="Times New Roman"/>
        <w:b/>
      </w:rPr>
      <w:fldChar w:fldCharType="begin"/>
    </w:r>
    <w:r w:rsidRPr="00A0698C">
      <w:rPr>
        <w:rFonts w:ascii="Times New Roman" w:hAnsi="Times New Roman"/>
        <w:b/>
      </w:rPr>
      <w:instrText>NUMPAGES</w:instrText>
    </w:r>
    <w:r w:rsidR="000E05C9" w:rsidRPr="00A0698C">
      <w:rPr>
        <w:rFonts w:ascii="Times New Roman" w:hAnsi="Times New Roman"/>
        <w:b/>
      </w:rPr>
      <w:fldChar w:fldCharType="separate"/>
    </w:r>
    <w:r w:rsidR="00886838">
      <w:rPr>
        <w:rFonts w:ascii="Times New Roman" w:hAnsi="Times New Roman"/>
        <w:b/>
        <w:noProof/>
      </w:rPr>
      <w:t>12</w:t>
    </w:r>
    <w:r w:rsidR="000E05C9" w:rsidRPr="00A0698C">
      <w:rPr>
        <w:rFonts w:ascii="Times New Roman" w:hAnsi="Times New Roman"/>
        <w:b/>
      </w:rPr>
      <w:fldChar w:fldCharType="end"/>
    </w:r>
  </w:p>
  <w:p w:rsidR="001D74CA" w:rsidRDefault="001D74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4CA" w:rsidRDefault="001D74CA" w:rsidP="007C06C0">
      <w:r>
        <w:separator/>
      </w:r>
    </w:p>
  </w:footnote>
  <w:footnote w:type="continuationSeparator" w:id="0">
    <w:p w:rsidR="001D74CA" w:rsidRDefault="001D74CA" w:rsidP="007C0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CA" w:rsidRPr="00A0698C" w:rsidRDefault="001D74CA" w:rsidP="00EF67FC">
    <w:pPr>
      <w:pStyle w:val="a3"/>
      <w:jc w:val="both"/>
      <w:rPr>
        <w:rFonts w:ascii="Arial" w:eastAsia="黑体" w:hAnsi="Arial" w:cs="Arial"/>
      </w:rPr>
    </w:pPr>
    <w:r w:rsidRPr="00A0698C">
      <w:rPr>
        <w:rFonts w:ascii="宋体" w:hAnsi="宋体" w:hint="eastAsia"/>
      </w:rPr>
      <w:t>中国国际公共关系协会</w:t>
    </w:r>
    <w:r w:rsidRPr="00A0698C">
      <w:rPr>
        <w:rFonts w:ascii="黑体" w:eastAsia="黑体" w:hAnsi="黑体"/>
      </w:rPr>
      <w:t xml:space="preserve">                                                    </w:t>
    </w:r>
    <w:r w:rsidRPr="00A0698C">
      <w:rPr>
        <w:rFonts w:ascii="Arial" w:eastAsia="黑体" w:hAnsi="Arial" w:cs="Arial"/>
      </w:rPr>
      <w:t>2013</w:t>
    </w:r>
    <w:r w:rsidRPr="00A0698C">
      <w:rPr>
        <w:rFonts w:ascii="Arial" w:eastAsia="黑体" w:hAnsi="黑体" w:cs="Arial" w:hint="eastAsia"/>
      </w:rPr>
      <w:t>年</w:t>
    </w:r>
    <w:r w:rsidRPr="00A0698C">
      <w:rPr>
        <w:rFonts w:ascii="Arial" w:eastAsia="黑体" w:hAnsi="Arial" w:cs="Arial"/>
      </w:rPr>
      <w:t>4</w:t>
    </w:r>
    <w:r w:rsidRPr="00A0698C">
      <w:rPr>
        <w:rFonts w:ascii="Arial" w:eastAsia="黑体" w:hAnsi="黑体" w:cs="Arial" w:hint="eastAsia"/>
      </w:rPr>
      <w:t>月</w:t>
    </w:r>
    <w:r w:rsidRPr="00A0698C">
      <w:rPr>
        <w:rFonts w:ascii="Arial" w:eastAsia="黑体" w:hAnsi="Arial" w:cs="Arial"/>
      </w:rPr>
      <w:t>18</w:t>
    </w:r>
    <w:r w:rsidRPr="00A0698C">
      <w:rPr>
        <w:rFonts w:ascii="Arial" w:eastAsia="黑体" w:hAnsi="黑体" w:cs="Arial" w:hint="eastAsia"/>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54A2"/>
    <w:multiLevelType w:val="hybridMultilevel"/>
    <w:tmpl w:val="19E6FDA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54602C8E"/>
    <w:multiLevelType w:val="hybridMultilevel"/>
    <w:tmpl w:val="845E6ED4"/>
    <w:lvl w:ilvl="0" w:tplc="1324CC14">
      <w:start w:val="1"/>
      <w:numFmt w:val="bullet"/>
      <w:lvlText w:val=""/>
      <w:lvlJc w:val="left"/>
      <w:pPr>
        <w:tabs>
          <w:tab w:val="num" w:pos="840"/>
        </w:tabs>
        <w:ind w:left="840" w:hanging="420"/>
      </w:pPr>
      <w:rPr>
        <w:rFonts w:ascii="Wingdings" w:hAnsi="Wingdings" w:hint="default"/>
        <w:color w:val="auto"/>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06C0"/>
    <w:rsid w:val="00017DEA"/>
    <w:rsid w:val="000D5092"/>
    <w:rsid w:val="000E05C9"/>
    <w:rsid w:val="00173EBD"/>
    <w:rsid w:val="001D0C32"/>
    <w:rsid w:val="001D74CA"/>
    <w:rsid w:val="0024739D"/>
    <w:rsid w:val="00272364"/>
    <w:rsid w:val="00316B3D"/>
    <w:rsid w:val="00362C34"/>
    <w:rsid w:val="003742FE"/>
    <w:rsid w:val="003C7037"/>
    <w:rsid w:val="003F636E"/>
    <w:rsid w:val="00521440"/>
    <w:rsid w:val="00553582"/>
    <w:rsid w:val="005B5228"/>
    <w:rsid w:val="005D3EE0"/>
    <w:rsid w:val="00636C81"/>
    <w:rsid w:val="00656E11"/>
    <w:rsid w:val="006B076A"/>
    <w:rsid w:val="007462B6"/>
    <w:rsid w:val="007C06C0"/>
    <w:rsid w:val="007E3E49"/>
    <w:rsid w:val="00867D7F"/>
    <w:rsid w:val="0088342E"/>
    <w:rsid w:val="00886838"/>
    <w:rsid w:val="009941B3"/>
    <w:rsid w:val="009961AA"/>
    <w:rsid w:val="009C10FB"/>
    <w:rsid w:val="009F6996"/>
    <w:rsid w:val="00BC367B"/>
    <w:rsid w:val="00BE3E07"/>
    <w:rsid w:val="00C25EAC"/>
    <w:rsid w:val="00CC3FD8"/>
    <w:rsid w:val="00CE443E"/>
    <w:rsid w:val="00D85603"/>
    <w:rsid w:val="00D9169A"/>
    <w:rsid w:val="00ED535D"/>
    <w:rsid w:val="00EE7854"/>
    <w:rsid w:val="00EF67FC"/>
    <w:rsid w:val="00F012A9"/>
    <w:rsid w:val="00F41391"/>
    <w:rsid w:val="00F85C26"/>
    <w:rsid w:val="00FB39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0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06C0"/>
    <w:rPr>
      <w:sz w:val="18"/>
      <w:szCs w:val="18"/>
    </w:rPr>
  </w:style>
  <w:style w:type="paragraph" w:styleId="a4">
    <w:name w:val="footer"/>
    <w:basedOn w:val="a"/>
    <w:link w:val="Char0"/>
    <w:uiPriority w:val="99"/>
    <w:unhideWhenUsed/>
    <w:rsid w:val="007C06C0"/>
    <w:pPr>
      <w:tabs>
        <w:tab w:val="center" w:pos="4153"/>
        <w:tab w:val="right" w:pos="8306"/>
      </w:tabs>
      <w:snapToGrid w:val="0"/>
      <w:jc w:val="left"/>
    </w:pPr>
    <w:rPr>
      <w:sz w:val="18"/>
      <w:szCs w:val="18"/>
    </w:rPr>
  </w:style>
  <w:style w:type="character" w:customStyle="1" w:styleId="Char0">
    <w:name w:val="页脚 Char"/>
    <w:basedOn w:val="a0"/>
    <w:link w:val="a4"/>
    <w:uiPriority w:val="99"/>
    <w:rsid w:val="007C06C0"/>
    <w:rPr>
      <w:sz w:val="18"/>
      <w:szCs w:val="18"/>
    </w:rPr>
  </w:style>
  <w:style w:type="paragraph" w:styleId="a5">
    <w:name w:val="List Paragraph"/>
    <w:basedOn w:val="a"/>
    <w:uiPriority w:val="99"/>
    <w:qFormat/>
    <w:rsid w:val="007C06C0"/>
    <w:pPr>
      <w:ind w:firstLineChars="200" w:firstLine="420"/>
    </w:pPr>
  </w:style>
  <w:style w:type="paragraph" w:styleId="a6">
    <w:name w:val="Balloon Text"/>
    <w:basedOn w:val="a"/>
    <w:link w:val="Char1"/>
    <w:uiPriority w:val="99"/>
    <w:semiHidden/>
    <w:unhideWhenUsed/>
    <w:rsid w:val="007C06C0"/>
    <w:rPr>
      <w:sz w:val="18"/>
      <w:szCs w:val="18"/>
    </w:rPr>
  </w:style>
  <w:style w:type="character" w:customStyle="1" w:styleId="Char1">
    <w:name w:val="批注框文本 Char"/>
    <w:basedOn w:val="a0"/>
    <w:link w:val="a6"/>
    <w:uiPriority w:val="99"/>
    <w:semiHidden/>
    <w:rsid w:val="007C06C0"/>
    <w:rPr>
      <w:rFonts w:ascii="Calibri" w:eastAsia="宋体" w:hAnsi="Calibri" w:cs="Times New Roman"/>
      <w:sz w:val="18"/>
      <w:szCs w:val="18"/>
    </w:rPr>
  </w:style>
  <w:style w:type="character" w:styleId="a7">
    <w:name w:val="annotation reference"/>
    <w:basedOn w:val="a0"/>
    <w:uiPriority w:val="99"/>
    <w:semiHidden/>
    <w:unhideWhenUsed/>
    <w:rsid w:val="00BC367B"/>
    <w:rPr>
      <w:sz w:val="21"/>
      <w:szCs w:val="21"/>
    </w:rPr>
  </w:style>
  <w:style w:type="paragraph" w:styleId="a8">
    <w:name w:val="annotation text"/>
    <w:basedOn w:val="a"/>
    <w:link w:val="Char2"/>
    <w:uiPriority w:val="99"/>
    <w:semiHidden/>
    <w:unhideWhenUsed/>
    <w:rsid w:val="00BC367B"/>
    <w:pPr>
      <w:jc w:val="left"/>
    </w:pPr>
  </w:style>
  <w:style w:type="character" w:customStyle="1" w:styleId="Char2">
    <w:name w:val="批注文字 Char"/>
    <w:basedOn w:val="a0"/>
    <w:link w:val="a8"/>
    <w:uiPriority w:val="99"/>
    <w:semiHidden/>
    <w:rsid w:val="00BC367B"/>
    <w:rPr>
      <w:rFonts w:ascii="Calibri" w:eastAsia="宋体" w:hAnsi="Calibri" w:cs="Times New Roman"/>
    </w:rPr>
  </w:style>
  <w:style w:type="paragraph" w:styleId="a9">
    <w:name w:val="annotation subject"/>
    <w:basedOn w:val="a8"/>
    <w:next w:val="a8"/>
    <w:link w:val="Char3"/>
    <w:uiPriority w:val="99"/>
    <w:semiHidden/>
    <w:unhideWhenUsed/>
    <w:rsid w:val="00BC367B"/>
    <w:rPr>
      <w:b/>
      <w:bCs/>
    </w:rPr>
  </w:style>
  <w:style w:type="character" w:customStyle="1" w:styleId="Char3">
    <w:name w:val="批注主题 Char"/>
    <w:basedOn w:val="Char2"/>
    <w:link w:val="a9"/>
    <w:uiPriority w:val="99"/>
    <w:semiHidden/>
    <w:rsid w:val="00BC367B"/>
    <w:rPr>
      <w:b/>
      <w:bCs/>
    </w:rPr>
  </w:style>
</w:styles>
</file>

<file path=word/webSettings.xml><?xml version="1.0" encoding="utf-8"?>
<w:webSettings xmlns:r="http://schemas.openxmlformats.org/officeDocument/2006/relationships" xmlns:w="http://schemas.openxmlformats.org/wordprocessingml/2006/main">
  <w:divs>
    <w:div w:id="10895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8"/>
  <c:chart>
    <c:autoTitleDeleted val="1"/>
    <c:view3D>
      <c:depthPercent val="100"/>
      <c:rAngAx val="1"/>
    </c:view3D>
    <c:plotArea>
      <c:layout/>
      <c:bar3DChart>
        <c:barDir val="col"/>
        <c:grouping val="clustered"/>
        <c:ser>
          <c:idx val="0"/>
          <c:order val="0"/>
          <c:tx>
            <c:strRef>
              <c:f>Sheet1!$B$1</c:f>
              <c:strCache>
                <c:ptCount val="1"/>
                <c:pt idx="0">
                  <c:v>年度营业额变化</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12"/>
              <c:layout/>
              <c:tx>
                <c:rich>
                  <a:bodyPr/>
                  <a:lstStyle/>
                  <a:p>
                    <a:r>
                      <a:rPr lang="en-US" altLang="en-US"/>
                      <a:t>303</a:t>
                    </a:r>
                  </a:p>
                </c:rich>
              </c:tx>
            </c:dLbl>
            <c:spPr>
              <a:noFill/>
              <a:ln w="25446">
                <a:noFill/>
              </a:ln>
            </c:spPr>
            <c:txPr>
              <a:bodyPr/>
              <a:lstStyle/>
              <a:p>
                <a:pPr>
                  <a:defRPr>
                    <a:latin typeface="Arial Unicode MS" pitchFamily="34" charset="-122"/>
                    <a:ea typeface="Arial Unicode MS" pitchFamily="34" charset="-122"/>
                    <a:cs typeface="Arial Unicode MS" pitchFamily="34" charset="-122"/>
                  </a:defRPr>
                </a:pPr>
                <a:endParaRPr lang="zh-CN"/>
              </a:p>
            </c:txPr>
            <c:showVal val="1"/>
          </c:dLbls>
          <c:cat>
            <c:numRef>
              <c:f>Sheet1!$A$2:$A$14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Sheet1!$B$2:$B$14</c:f>
              <c:numCache>
                <c:formatCode>General</c:formatCode>
                <c:ptCount val="13"/>
                <c:pt idx="0">
                  <c:v>15</c:v>
                </c:pt>
                <c:pt idx="1">
                  <c:v>20</c:v>
                </c:pt>
                <c:pt idx="2">
                  <c:v>25</c:v>
                </c:pt>
                <c:pt idx="3">
                  <c:v>33</c:v>
                </c:pt>
                <c:pt idx="4">
                  <c:v>45</c:v>
                </c:pt>
                <c:pt idx="5">
                  <c:v>60</c:v>
                </c:pt>
                <c:pt idx="6">
                  <c:v>80</c:v>
                </c:pt>
                <c:pt idx="7">
                  <c:v>108</c:v>
                </c:pt>
                <c:pt idx="8">
                  <c:v>140</c:v>
                </c:pt>
                <c:pt idx="9">
                  <c:v>165</c:v>
                </c:pt>
                <c:pt idx="10">
                  <c:v>210</c:v>
                </c:pt>
                <c:pt idx="11">
                  <c:v>260</c:v>
                </c:pt>
                <c:pt idx="12">
                  <c:v>303</c:v>
                </c:pt>
              </c:numCache>
            </c:numRef>
          </c:val>
        </c:ser>
        <c:dLbls>
          <c:showVal val="1"/>
        </c:dLbls>
        <c:shape val="box"/>
        <c:axId val="158594560"/>
        <c:axId val="158596096"/>
        <c:axId val="0"/>
      </c:bar3DChart>
      <c:catAx>
        <c:axId val="158594560"/>
        <c:scaling>
          <c:orientation val="minMax"/>
        </c:scaling>
        <c:axPos val="b"/>
        <c:numFmt formatCode="General" sourceLinked="1"/>
        <c:tickLblPos val="nextTo"/>
        <c:crossAx val="158596096"/>
        <c:crosses val="autoZero"/>
        <c:auto val="1"/>
        <c:lblAlgn val="ctr"/>
        <c:lblOffset val="100"/>
      </c:catAx>
      <c:valAx>
        <c:axId val="158596096"/>
        <c:scaling>
          <c:orientation val="minMax"/>
        </c:scaling>
        <c:axPos val="l"/>
        <c:majorGridlines/>
        <c:numFmt formatCode="General" sourceLinked="1"/>
        <c:tickLblPos val="nextTo"/>
        <c:crossAx val="158594560"/>
        <c:crosses val="autoZero"/>
        <c:crossBetween val="between"/>
      </c:valAx>
      <c:spPr>
        <a:noFill/>
        <a:ln w="25446">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26"/>
  <c:chart>
    <c:autoTitleDeleted val="1"/>
    <c:plotArea>
      <c:layout/>
      <c:pieChart>
        <c:varyColors val="1"/>
        <c:ser>
          <c:idx val="0"/>
          <c:order val="0"/>
          <c:tx>
            <c:strRef>
              <c:f>Sheet1!$B$1</c:f>
              <c:strCache>
                <c:ptCount val="1"/>
                <c:pt idx="0">
                  <c:v>列1</c:v>
                </c:pt>
              </c:strCache>
            </c:strRef>
          </c:tx>
          <c:dPt>
            <c:idx val="0"/>
            <c:explosion val="14"/>
          </c:dPt>
          <c:dPt>
            <c:idx val="1"/>
            <c:explosion val="18"/>
          </c:dPt>
          <c:dPt>
            <c:idx val="2"/>
            <c:explosion val="20"/>
          </c:dPt>
          <c:dPt>
            <c:idx val="3"/>
            <c:explosion val="14"/>
          </c:dPt>
          <c:dLbls>
            <c:showVal val="1"/>
            <c:showCatName val="1"/>
          </c:dLbls>
          <c:cat>
            <c:strRef>
              <c:f>Sheet1!$A$2:$A$13</c:f>
              <c:strCache>
                <c:ptCount val="12"/>
                <c:pt idx="0">
                  <c:v>汽车</c:v>
                </c:pt>
                <c:pt idx="1">
                  <c:v>快消</c:v>
                </c:pt>
                <c:pt idx="2">
                  <c:v>IT</c:v>
                </c:pt>
                <c:pt idx="3">
                  <c:v>金融</c:v>
                </c:pt>
                <c:pt idx="4">
                  <c:v>制造业</c:v>
                </c:pt>
                <c:pt idx="5">
                  <c:v>通讯</c:v>
                </c:pt>
                <c:pt idx="6">
                  <c:v>房地产</c:v>
                </c:pt>
                <c:pt idx="7">
                  <c:v>政府及非盈利机构</c:v>
                </c:pt>
                <c:pt idx="8">
                  <c:v>互联网</c:v>
                </c:pt>
                <c:pt idx="9">
                  <c:v>医疗保健</c:v>
                </c:pt>
                <c:pt idx="10">
                  <c:v>旅游</c:v>
                </c:pt>
                <c:pt idx="11">
                  <c:v>其他</c:v>
                </c:pt>
              </c:strCache>
            </c:strRef>
          </c:cat>
          <c:val>
            <c:numRef>
              <c:f>Sheet1!$B$2:$B$13</c:f>
              <c:numCache>
                <c:formatCode>0.0%</c:formatCode>
                <c:ptCount val="12"/>
                <c:pt idx="0">
                  <c:v>0.19</c:v>
                </c:pt>
                <c:pt idx="1">
                  <c:v>0.13500000000000001</c:v>
                </c:pt>
                <c:pt idx="2">
                  <c:v>8.2000000000000003E-2</c:v>
                </c:pt>
                <c:pt idx="3">
                  <c:v>6.8000000000000019E-2</c:v>
                </c:pt>
                <c:pt idx="4">
                  <c:v>5.5000000000000014E-2</c:v>
                </c:pt>
                <c:pt idx="5">
                  <c:v>5.3999999999999999E-2</c:v>
                </c:pt>
                <c:pt idx="6">
                  <c:v>5.3999999999999999E-2</c:v>
                </c:pt>
                <c:pt idx="7">
                  <c:v>4.0000000000000022E-2</c:v>
                </c:pt>
                <c:pt idx="8">
                  <c:v>3.0000000000000002E-2</c:v>
                </c:pt>
                <c:pt idx="9">
                  <c:v>2.5999999999999999E-2</c:v>
                </c:pt>
                <c:pt idx="10">
                  <c:v>2.3E-2</c:v>
                </c:pt>
                <c:pt idx="11">
                  <c:v>0.24300000000000024</c:v>
                </c:pt>
              </c:numCache>
            </c:numRef>
          </c:val>
        </c:ser>
        <c:dLbls>
          <c:showVal val="1"/>
          <c:showCatName val="1"/>
        </c:dLbls>
        <c:firstSliceAng val="0"/>
      </c:pie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18"/>
  <c:chart>
    <c:autoTitleDeleted val="1"/>
    <c:view3D>
      <c:depthPercent val="100"/>
      <c:rAngAx val="1"/>
    </c:view3D>
    <c:plotArea>
      <c:layout/>
      <c:bar3DChart>
        <c:barDir val="col"/>
        <c:grouping val="clustered"/>
        <c:ser>
          <c:idx val="0"/>
          <c:order val="0"/>
          <c:tx>
            <c:strRef>
              <c:f>Sheet1!$B$1</c:f>
              <c:strCache>
                <c:ptCount val="1"/>
                <c:pt idx="0">
                  <c:v>业务类型市场构成</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w="25410">
                <a:noFill/>
              </a:ln>
            </c:spPr>
            <c:txPr>
              <a:bodyPr/>
              <a:lstStyle/>
              <a:p>
                <a:pPr>
                  <a:defRPr>
                    <a:latin typeface="Arial Unicode MS" pitchFamily="34" charset="-122"/>
                    <a:ea typeface="Arial Unicode MS" pitchFamily="34" charset="-122"/>
                    <a:cs typeface="Arial Unicode MS" pitchFamily="34" charset="-122"/>
                  </a:defRPr>
                </a:pPr>
                <a:endParaRPr lang="zh-CN"/>
              </a:p>
            </c:txPr>
            <c:showVal val="1"/>
          </c:dLbls>
          <c:cat>
            <c:strRef>
              <c:f>Sheet1!$A$2:$A$8</c:f>
              <c:strCache>
                <c:ptCount val="7"/>
                <c:pt idx="0">
                  <c:v>顾问咨询</c:v>
                </c:pt>
                <c:pt idx="1">
                  <c:v>传播代理</c:v>
                </c:pt>
                <c:pt idx="2">
                  <c:v>活动代理</c:v>
                </c:pt>
                <c:pt idx="3">
                  <c:v>网络公关</c:v>
                </c:pt>
                <c:pt idx="4">
                  <c:v>媒体执行</c:v>
                </c:pt>
                <c:pt idx="5">
                  <c:v>设计制作</c:v>
                </c:pt>
                <c:pt idx="6">
                  <c:v>培训及其他</c:v>
                </c:pt>
              </c:strCache>
            </c:strRef>
          </c:cat>
          <c:val>
            <c:numRef>
              <c:f>Sheet1!$B$2:$B$8</c:f>
              <c:numCache>
                <c:formatCode>General</c:formatCode>
                <c:ptCount val="7"/>
                <c:pt idx="0">
                  <c:v>4</c:v>
                </c:pt>
                <c:pt idx="1">
                  <c:v>13</c:v>
                </c:pt>
                <c:pt idx="2">
                  <c:v>8</c:v>
                </c:pt>
                <c:pt idx="3">
                  <c:v>4</c:v>
                </c:pt>
                <c:pt idx="4">
                  <c:v>2</c:v>
                </c:pt>
                <c:pt idx="5">
                  <c:v>0</c:v>
                </c:pt>
                <c:pt idx="6">
                  <c:v>0</c:v>
                </c:pt>
              </c:numCache>
            </c:numRef>
          </c:val>
        </c:ser>
        <c:dLbls>
          <c:showVal val="1"/>
        </c:dLbls>
        <c:shape val="box"/>
        <c:axId val="124544128"/>
        <c:axId val="124545664"/>
        <c:axId val="0"/>
      </c:bar3DChart>
      <c:catAx>
        <c:axId val="124544128"/>
        <c:scaling>
          <c:orientation val="minMax"/>
        </c:scaling>
        <c:axPos val="b"/>
        <c:numFmt formatCode="General" sourceLinked="1"/>
        <c:tickLblPos val="nextTo"/>
        <c:crossAx val="124545664"/>
        <c:crosses val="autoZero"/>
        <c:auto val="1"/>
        <c:lblAlgn val="ctr"/>
        <c:lblOffset val="100"/>
      </c:catAx>
      <c:valAx>
        <c:axId val="124545664"/>
        <c:scaling>
          <c:orientation val="minMax"/>
        </c:scaling>
        <c:axPos val="l"/>
        <c:majorGridlines/>
        <c:numFmt formatCode="General" sourceLinked="1"/>
        <c:tickLblPos val="nextTo"/>
        <c:crossAx val="124544128"/>
        <c:crosses val="autoZero"/>
        <c:crossBetween val="between"/>
      </c:valAx>
      <c:spPr>
        <a:noFill/>
        <a:ln w="25410">
          <a:noFill/>
        </a:ln>
      </c:spPr>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18"/>
  <c:chart>
    <c:autoTitleDeleted val="1"/>
    <c:view3D>
      <c:depthPercent val="100"/>
      <c:rAngAx val="1"/>
    </c:view3D>
    <c:plotArea>
      <c:layout/>
      <c:bar3DChart>
        <c:barDir val="col"/>
        <c:grouping val="clustered"/>
        <c:ser>
          <c:idx val="0"/>
          <c:order val="0"/>
          <c:tx>
            <c:strRef>
              <c:f>Sheet1!$B$1</c:f>
              <c:strCache>
                <c:ptCount val="1"/>
                <c:pt idx="0">
                  <c:v>列1</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w="25410">
                <a:noFill/>
              </a:ln>
            </c:spPr>
            <c:txPr>
              <a:bodyPr/>
              <a:lstStyle/>
              <a:p>
                <a:pPr>
                  <a:defRPr>
                    <a:latin typeface="Arial Unicode MS" pitchFamily="34" charset="-122"/>
                    <a:ea typeface="Arial Unicode MS" pitchFamily="34" charset="-122"/>
                    <a:cs typeface="Arial Unicode MS" pitchFamily="34" charset="-122"/>
                  </a:defRPr>
                </a:pPr>
                <a:endParaRPr lang="zh-CN"/>
              </a:p>
            </c:txPr>
            <c:showVal val="1"/>
          </c:dLbls>
          <c:cat>
            <c:strRef>
              <c:f>Sheet1!$A$2:$A$11</c:f>
              <c:strCache>
                <c:ptCount val="10"/>
                <c:pt idx="0">
                  <c:v>网络公关</c:v>
                </c:pt>
                <c:pt idx="1">
                  <c:v>事件营销</c:v>
                </c:pt>
                <c:pt idx="2">
                  <c:v>政府关系</c:v>
                </c:pt>
                <c:pt idx="3">
                  <c:v>危机管理</c:v>
                </c:pt>
                <c:pt idx="4">
                  <c:v>CSR项目</c:v>
                </c:pt>
                <c:pt idx="5">
                  <c:v>城市营销</c:v>
                </c:pt>
                <c:pt idx="6">
                  <c:v>娱乐营销</c:v>
                </c:pt>
                <c:pt idx="7">
                  <c:v>体育营销</c:v>
                </c:pt>
                <c:pt idx="8">
                  <c:v>议题管理</c:v>
                </c:pt>
                <c:pt idx="9">
                  <c:v>其他</c:v>
                </c:pt>
              </c:strCache>
            </c:strRef>
          </c:cat>
          <c:val>
            <c:numRef>
              <c:f>Sheet1!$B$2:$B$11</c:f>
              <c:numCache>
                <c:formatCode>General</c:formatCode>
                <c:ptCount val="10"/>
                <c:pt idx="0">
                  <c:v>24</c:v>
                </c:pt>
                <c:pt idx="1">
                  <c:v>14</c:v>
                </c:pt>
                <c:pt idx="2">
                  <c:v>12</c:v>
                </c:pt>
                <c:pt idx="3">
                  <c:v>14</c:v>
                </c:pt>
                <c:pt idx="4">
                  <c:v>12</c:v>
                </c:pt>
                <c:pt idx="5">
                  <c:v>8</c:v>
                </c:pt>
                <c:pt idx="6">
                  <c:v>7</c:v>
                </c:pt>
                <c:pt idx="7">
                  <c:v>5</c:v>
                </c:pt>
                <c:pt idx="8">
                  <c:v>2</c:v>
                </c:pt>
                <c:pt idx="9">
                  <c:v>2</c:v>
                </c:pt>
              </c:numCache>
            </c:numRef>
          </c:val>
        </c:ser>
        <c:dLbls>
          <c:showVal val="1"/>
        </c:dLbls>
        <c:shape val="box"/>
        <c:axId val="133273856"/>
        <c:axId val="138829824"/>
        <c:axId val="0"/>
      </c:bar3DChart>
      <c:catAx>
        <c:axId val="133273856"/>
        <c:scaling>
          <c:orientation val="minMax"/>
        </c:scaling>
        <c:axPos val="b"/>
        <c:numFmt formatCode="General" sourceLinked="1"/>
        <c:tickLblPos val="nextTo"/>
        <c:crossAx val="138829824"/>
        <c:crosses val="autoZero"/>
        <c:auto val="1"/>
        <c:lblAlgn val="ctr"/>
        <c:lblOffset val="100"/>
      </c:catAx>
      <c:valAx>
        <c:axId val="138829824"/>
        <c:scaling>
          <c:orientation val="minMax"/>
        </c:scaling>
        <c:axPos val="l"/>
        <c:majorGridlines/>
        <c:numFmt formatCode="General" sourceLinked="1"/>
        <c:tickLblPos val="nextTo"/>
        <c:crossAx val="133273856"/>
        <c:crosses val="autoZero"/>
        <c:crossBetween val="between"/>
      </c:valAx>
      <c:spPr>
        <a:noFill/>
        <a:ln w="25410">
          <a:noFill/>
        </a:ln>
      </c:spPr>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18"/>
  <c:chart>
    <c:autoTitleDeleted val="1"/>
    <c:view3D>
      <c:depthPercent val="100"/>
      <c:rAngAx val="1"/>
    </c:view3D>
    <c:plotArea>
      <c:layout/>
      <c:bar3DChart>
        <c:barDir val="col"/>
        <c:grouping val="clustered"/>
        <c:ser>
          <c:idx val="0"/>
          <c:order val="0"/>
          <c:tx>
            <c:strRef>
              <c:f>Sheet1!$B$1</c:f>
              <c:strCache>
                <c:ptCount val="1"/>
                <c:pt idx="0">
                  <c:v>系列 1</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w="25410">
                <a:noFill/>
              </a:ln>
            </c:spPr>
            <c:txPr>
              <a:bodyPr/>
              <a:lstStyle/>
              <a:p>
                <a:pPr>
                  <a:defRPr>
                    <a:latin typeface="Arial Unicode MS" pitchFamily="34" charset="-122"/>
                    <a:ea typeface="Arial Unicode MS" pitchFamily="34" charset="-122"/>
                    <a:cs typeface="Arial Unicode MS" pitchFamily="34" charset="-122"/>
                  </a:defRPr>
                </a:pPr>
                <a:endParaRPr lang="zh-CN"/>
              </a:p>
            </c:txPr>
            <c:showVal val="1"/>
          </c:dLbls>
          <c:cat>
            <c:strRef>
              <c:f>Sheet1!$A$2:$A$8</c:f>
              <c:strCache>
                <c:ptCount val="7"/>
                <c:pt idx="0">
                  <c:v>舆情监测</c:v>
                </c:pt>
                <c:pt idx="1">
                  <c:v>口碑营销</c:v>
                </c:pt>
                <c:pt idx="2">
                  <c:v>产品推广</c:v>
                </c:pt>
                <c:pt idx="3">
                  <c:v>企业传播</c:v>
                </c:pt>
                <c:pt idx="4">
                  <c:v>事件营销</c:v>
                </c:pt>
                <c:pt idx="5">
                  <c:v>整合传播</c:v>
                </c:pt>
                <c:pt idx="6">
                  <c:v>危机处理</c:v>
                </c:pt>
              </c:strCache>
            </c:strRef>
          </c:cat>
          <c:val>
            <c:numRef>
              <c:f>Sheet1!$B$2:$B$8</c:f>
              <c:numCache>
                <c:formatCode>General</c:formatCode>
                <c:ptCount val="7"/>
                <c:pt idx="0">
                  <c:v>24</c:v>
                </c:pt>
                <c:pt idx="1">
                  <c:v>25</c:v>
                </c:pt>
                <c:pt idx="2">
                  <c:v>25</c:v>
                </c:pt>
                <c:pt idx="3">
                  <c:v>23</c:v>
                </c:pt>
                <c:pt idx="4">
                  <c:v>23</c:v>
                </c:pt>
                <c:pt idx="5">
                  <c:v>23</c:v>
                </c:pt>
                <c:pt idx="6">
                  <c:v>19</c:v>
                </c:pt>
              </c:numCache>
            </c:numRef>
          </c:val>
        </c:ser>
        <c:dLbls>
          <c:showVal val="1"/>
        </c:dLbls>
        <c:shape val="box"/>
        <c:axId val="158079232"/>
        <c:axId val="158580736"/>
        <c:axId val="0"/>
      </c:bar3DChart>
      <c:catAx>
        <c:axId val="158079232"/>
        <c:scaling>
          <c:orientation val="minMax"/>
        </c:scaling>
        <c:axPos val="b"/>
        <c:numFmt formatCode="General" sourceLinked="1"/>
        <c:tickLblPos val="nextTo"/>
        <c:crossAx val="158580736"/>
        <c:crosses val="autoZero"/>
        <c:auto val="1"/>
        <c:lblAlgn val="ctr"/>
        <c:lblOffset val="100"/>
      </c:catAx>
      <c:valAx>
        <c:axId val="158580736"/>
        <c:scaling>
          <c:orientation val="minMax"/>
        </c:scaling>
        <c:axPos val="l"/>
        <c:majorGridlines/>
        <c:numFmt formatCode="General" sourceLinked="1"/>
        <c:tickLblPos val="nextTo"/>
        <c:crossAx val="158079232"/>
        <c:crosses val="autoZero"/>
        <c:crossBetween val="between"/>
      </c:valAx>
      <c:spPr>
        <a:noFill/>
        <a:ln w="25410">
          <a:noFill/>
        </a:ln>
      </c:spPr>
    </c:plotArea>
    <c:plotVisOnly val="1"/>
    <c:dispBlanksAs val="gap"/>
  </c:chart>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3DAA-75D1-4F34-9F16-F4AD68D6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12</Pages>
  <Words>1134</Words>
  <Characters>6466</Characters>
  <Application>Microsoft Office Word</Application>
  <DocSecurity>0</DocSecurity>
  <Lines>53</Lines>
  <Paragraphs>15</Paragraphs>
  <ScaleCrop>false</ScaleCrop>
  <Company>Lenovo</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cp:lastPrinted>2013-04-18T01:56:00Z</cp:lastPrinted>
  <dcterms:created xsi:type="dcterms:W3CDTF">2013-04-16T08:57:00Z</dcterms:created>
  <dcterms:modified xsi:type="dcterms:W3CDTF">2013-04-19T07:33:00Z</dcterms:modified>
</cp:coreProperties>
</file>